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rPr>
      </w:pPr>
      <w:bookmarkStart w:id="0" w:name="_GoBack"/>
      <w:bookmarkEnd w:id="0"/>
    </w:p>
    <w:tbl>
      <w:tblPr>
        <w:tblStyle w:val="6"/>
        <w:tblW w:w="10245" w:type="dxa"/>
        <w:jc w:val="center"/>
        <w:tblCellSpacing w:w="15" w:type="dxa"/>
        <w:tblLayout w:type="fixed"/>
        <w:tblCellMar>
          <w:top w:w="0" w:type="dxa"/>
          <w:left w:w="0" w:type="dxa"/>
          <w:bottom w:w="0" w:type="dxa"/>
          <w:right w:w="0" w:type="dxa"/>
        </w:tblCellMar>
      </w:tblPr>
      <w:tblGrid>
        <w:gridCol w:w="1822"/>
        <w:gridCol w:w="8423"/>
      </w:tblGrid>
      <w:tr>
        <w:trPr>
          <w:tblCellSpacing w:w="15" w:type="dxa"/>
          <w:jc w:val="center"/>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建设项目名称</w:t>
            </w:r>
          </w:p>
        </w:tc>
        <w:tc>
          <w:tcPr>
            <w:tcW w:w="8378" w:type="dxa"/>
            <w:tcBorders>
              <w:top w:val="single" w:color="000000" w:sz="4" w:space="0"/>
              <w:left w:val="nil"/>
              <w:bottom w:val="single" w:color="000000" w:sz="4" w:space="0"/>
              <w:right w:val="single" w:color="000000" w:sz="4" w:space="0"/>
            </w:tcBorders>
            <w:noWrap w:val="0"/>
            <w:tcMar>
              <w:left w:w="70" w:type="dxa"/>
              <w:right w:w="70" w:type="dxa"/>
            </w:tcMar>
            <w:vAlign w:val="center"/>
          </w:tcPr>
          <w:p>
            <w:pPr>
              <w:ind w:left="105" w:leftChars="50" w:right="105" w:rightChars="50"/>
              <w:jc w:val="center"/>
              <w:rPr>
                <w:rFonts w:hint="eastAsia" w:ascii="仿宋" w:hAnsi="仿宋" w:eastAsia="仿宋" w:cs="仿宋"/>
                <w:bCs/>
                <w:sz w:val="24"/>
                <w:szCs w:val="24"/>
              </w:rPr>
            </w:pPr>
            <w:r>
              <w:rPr>
                <w:rFonts w:hint="eastAsia" w:ascii="仿宋" w:hAnsi="仿宋" w:eastAsia="仿宋" w:cs="宋体"/>
                <w:kern w:val="0"/>
                <w:sz w:val="24"/>
                <w:szCs w:val="24"/>
                <w:lang w:val="en-US" w:eastAsia="zh-CN" w:bidi="ar-SA"/>
              </w:rPr>
              <w:t>北大荒集团黑龙江普阳农场有限公司无线转播台建设项目</w:t>
            </w:r>
          </w:p>
        </w:tc>
      </w:tr>
      <w:tr>
        <w:tblPrEx>
          <w:tblCellMar>
            <w:top w:w="0" w:type="dxa"/>
            <w:left w:w="0" w:type="dxa"/>
            <w:bottom w:w="0" w:type="dxa"/>
            <w:right w:w="0" w:type="dxa"/>
          </w:tblCellMar>
        </w:tblPrEx>
        <w:trPr>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建设地址</w:t>
            </w:r>
          </w:p>
        </w:tc>
        <w:tc>
          <w:tcPr>
            <w:tcW w:w="8378" w:type="dxa"/>
            <w:tcBorders>
              <w:top w:val="nil"/>
              <w:left w:val="nil"/>
              <w:bottom w:val="single" w:color="000000" w:sz="4" w:space="0"/>
              <w:right w:val="single" w:color="000000" w:sz="4" w:space="0"/>
            </w:tcBorders>
            <w:noWrap w:val="0"/>
            <w:tcMar>
              <w:left w:w="70" w:type="dxa"/>
              <w:right w:w="70" w:type="dxa"/>
            </w:tcMar>
            <w:vAlign w:val="top"/>
          </w:tcPr>
          <w:p>
            <w:pPr>
              <w:pStyle w:val="5"/>
              <w:widowControl/>
              <w:spacing w:beforeAutospacing="0" w:afterAutospacing="0" w:line="160" w:lineRule="atLeast"/>
              <w:jc w:val="center"/>
              <w:rPr>
                <w:rFonts w:hint="eastAsia" w:ascii="仿宋" w:hAnsi="仿宋" w:eastAsia="仿宋"/>
                <w:kern w:val="2"/>
              </w:rPr>
            </w:pPr>
            <w:r>
              <w:rPr>
                <w:rFonts w:hint="eastAsia" w:ascii="仿宋" w:hAnsi="仿宋" w:eastAsia="仿宋"/>
                <w:kern w:val="2"/>
              </w:rPr>
              <w:t>黑龙江省鹤岗市绥滨县普阳农场北二街西四路交叉口西侧</w:t>
            </w:r>
          </w:p>
        </w:tc>
      </w:tr>
      <w:tr>
        <w:tblPrEx>
          <w:tblCellMar>
            <w:top w:w="0" w:type="dxa"/>
            <w:left w:w="0" w:type="dxa"/>
            <w:bottom w:w="0" w:type="dxa"/>
            <w:right w:w="0" w:type="dxa"/>
          </w:tblCellMar>
        </w:tblPrEx>
        <w:trPr>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建设单位</w:t>
            </w:r>
          </w:p>
        </w:tc>
        <w:tc>
          <w:tcPr>
            <w:tcW w:w="8378" w:type="dxa"/>
            <w:tcBorders>
              <w:top w:val="nil"/>
              <w:left w:val="nil"/>
              <w:bottom w:val="single" w:color="000000" w:sz="4" w:space="0"/>
              <w:right w:val="single" w:color="000000" w:sz="4" w:space="0"/>
            </w:tcBorders>
            <w:noWrap w:val="0"/>
            <w:tcMar>
              <w:left w:w="70" w:type="dxa"/>
              <w:right w:w="70" w:type="dxa"/>
            </w:tcMar>
            <w:vAlign w:val="top"/>
          </w:tcPr>
          <w:p>
            <w:pPr>
              <w:pStyle w:val="5"/>
              <w:widowControl/>
              <w:spacing w:beforeAutospacing="0" w:afterAutospacing="0" w:line="160" w:lineRule="atLeast"/>
              <w:jc w:val="center"/>
              <w:rPr>
                <w:rFonts w:hint="eastAsia" w:ascii="仿宋" w:hAnsi="仿宋" w:eastAsia="仿宋"/>
                <w:kern w:val="2"/>
                <w:lang w:eastAsia="zh-CN"/>
              </w:rPr>
            </w:pPr>
            <w:r>
              <w:rPr>
                <w:rFonts w:hint="eastAsia" w:ascii="仿宋" w:hAnsi="仿宋" w:eastAsia="仿宋"/>
                <w:kern w:val="2"/>
                <w:lang w:eastAsia="zh-CN"/>
              </w:rPr>
              <w:t>北大荒集团黑龙江普阳农场有限公司</w:t>
            </w:r>
          </w:p>
        </w:tc>
      </w:tr>
      <w:tr>
        <w:tblPrEx>
          <w:tblCellMar>
            <w:top w:w="0" w:type="dxa"/>
            <w:left w:w="0" w:type="dxa"/>
            <w:bottom w:w="0" w:type="dxa"/>
            <w:right w:w="0" w:type="dxa"/>
          </w:tblCellMar>
        </w:tblPrEx>
        <w:trPr>
          <w:trHeight w:val="90" w:hRule="atLeast"/>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环境影响</w:t>
            </w:r>
          </w:p>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评价单位</w:t>
            </w:r>
          </w:p>
        </w:tc>
        <w:tc>
          <w:tcPr>
            <w:tcW w:w="8378" w:type="dxa"/>
            <w:tcBorders>
              <w:top w:val="nil"/>
              <w:left w:val="nil"/>
              <w:bottom w:val="single" w:color="000000" w:sz="4" w:space="0"/>
              <w:right w:val="single" w:color="000000" w:sz="4" w:space="0"/>
            </w:tcBorders>
            <w:noWrap w:val="0"/>
            <w:tcMar>
              <w:left w:w="70" w:type="dxa"/>
              <w:right w:w="70" w:type="dxa"/>
            </w:tcMar>
            <w:vAlign w:val="center"/>
          </w:tcPr>
          <w:p>
            <w:pPr>
              <w:jc w:val="center"/>
              <w:rPr>
                <w:rFonts w:hint="eastAsia" w:ascii="仿宋" w:hAnsi="仿宋" w:eastAsia="仿宋"/>
                <w:sz w:val="24"/>
                <w:szCs w:val="24"/>
                <w:lang w:eastAsia="zh-CN"/>
              </w:rPr>
            </w:pPr>
            <w:r>
              <w:rPr>
                <w:rFonts w:hint="eastAsia" w:ascii="仿宋" w:hAnsi="仿宋" w:eastAsia="仿宋" w:cs="Times New Roman"/>
                <w:kern w:val="2"/>
                <w:sz w:val="24"/>
                <w:szCs w:val="24"/>
                <w:lang w:val="en-US" w:eastAsia="zh-CN" w:bidi="ar-SA"/>
              </w:rPr>
              <w:t>黑龙江众安环保科技有限公司</w:t>
            </w:r>
          </w:p>
        </w:tc>
      </w:tr>
      <w:tr>
        <w:tblPrEx>
          <w:tblCellMar>
            <w:top w:w="0" w:type="dxa"/>
            <w:left w:w="0" w:type="dxa"/>
            <w:bottom w:w="0" w:type="dxa"/>
            <w:right w:w="0" w:type="dxa"/>
          </w:tblCellMar>
        </w:tblPrEx>
        <w:trPr>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项目概况</w:t>
            </w:r>
          </w:p>
        </w:tc>
        <w:tc>
          <w:tcPr>
            <w:tcW w:w="8378" w:type="dxa"/>
            <w:tcBorders>
              <w:top w:val="nil"/>
              <w:left w:val="nil"/>
              <w:bottom w:val="single" w:color="000000" w:sz="4" w:space="0"/>
              <w:right w:val="single" w:color="000000" w:sz="4" w:space="0"/>
            </w:tcBorders>
            <w:noWrap w:val="0"/>
            <w:tcMar>
              <w:left w:w="70" w:type="dxa"/>
              <w:right w:w="70"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textAlignment w:val="auto"/>
              <w:rPr>
                <w:rFonts w:ascii="仿宋" w:hAnsi="仿宋" w:eastAsia="仿宋" w:cs="仿宋"/>
              </w:rPr>
            </w:pPr>
            <w:r>
              <w:rPr>
                <w:rFonts w:hint="eastAsia" w:ascii="仿宋" w:hAnsi="仿宋" w:eastAsia="仿宋" w:cs="仿宋"/>
              </w:rPr>
              <w:t>该项目属于新建项目。本项目建设内容为：建设1座84m的电视广播信号发射塔，使用3台1kW的地面数字电视发射机，1台0.3kW调频广播发射机，四层四面双偶极板天线2</w:t>
            </w:r>
            <w:r>
              <w:rPr>
                <w:rFonts w:hint="default" w:ascii="仿宋" w:hAnsi="仿宋" w:eastAsia="仿宋" w:cs="仿宋"/>
              </w:rPr>
              <w:t>副</w:t>
            </w:r>
            <w:r>
              <w:rPr>
                <w:rFonts w:hint="eastAsia" w:ascii="仿宋" w:hAnsi="仿宋" w:eastAsia="仿宋" w:cs="仿宋"/>
              </w:rPr>
              <w:t>，二层四面双偶极板天线1</w:t>
            </w:r>
            <w:r>
              <w:rPr>
                <w:rFonts w:hint="default" w:ascii="仿宋" w:hAnsi="仿宋" w:eastAsia="仿宋" w:cs="仿宋"/>
              </w:rPr>
              <w:t>副</w:t>
            </w:r>
            <w:r>
              <w:rPr>
                <w:rFonts w:hint="eastAsia" w:ascii="仿宋" w:hAnsi="仿宋" w:eastAsia="仿宋" w:cs="仿宋"/>
              </w:rPr>
              <w:t>。二层砖混结构办公楼，建筑面积为295.75m2，发射机房为彩钢保温板和钢骨架结构，建筑面积为63m2，危废贮存库位于厂区西侧，建筑面积为18.15m2，车棚位于厂区西侧，建筑面积约50m2。建设地点位于黑龙江省鹤岗市绥滨县普阳农场北二街西四路交叉口西侧。总投资800万元，环保投资15.5万元。</w:t>
            </w:r>
          </w:p>
        </w:tc>
      </w:tr>
      <w:tr>
        <w:tblPrEx>
          <w:tblCellMar>
            <w:top w:w="0" w:type="dxa"/>
            <w:left w:w="0" w:type="dxa"/>
            <w:bottom w:w="0" w:type="dxa"/>
            <w:right w:w="0" w:type="dxa"/>
          </w:tblCellMar>
        </w:tblPrEx>
        <w:trPr>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ascii="仿宋" w:hAnsi="仿宋" w:eastAsia="仿宋" w:cs="宋体"/>
              </w:rPr>
            </w:pPr>
            <w:r>
              <w:rPr>
                <w:rFonts w:hint="eastAsia" w:ascii="仿宋" w:hAnsi="仿宋" w:eastAsia="仿宋" w:cs="宋体"/>
              </w:rPr>
              <w:t>主要环境影响及预防或者减轻不良影响的对策和措施</w:t>
            </w:r>
          </w:p>
        </w:tc>
        <w:tc>
          <w:tcPr>
            <w:tcW w:w="8378" w:type="dxa"/>
            <w:tcBorders>
              <w:top w:val="nil"/>
              <w:left w:val="nil"/>
              <w:bottom w:val="single" w:color="000000" w:sz="4" w:space="0"/>
              <w:right w:val="single" w:color="000000" w:sz="4" w:space="0"/>
            </w:tcBorders>
            <w:noWrap w:val="0"/>
            <w:tcMar>
              <w:left w:w="70" w:type="dxa"/>
              <w:right w:w="70" w:type="dxa"/>
            </w:tcMar>
            <w:vAlign w:val="center"/>
          </w:tcPr>
          <w:p>
            <w:pPr>
              <w:adjustRightInd w:val="0"/>
              <w:snapToGrid w:val="0"/>
              <w:spacing w:line="0" w:lineRule="atLeast"/>
              <w:ind w:firstLine="360" w:firstLineChars="15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一、施工期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本项目施工已完成。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经现场调查，项目施工期已采用相关的废水、废气、噪声及固废污染防治措施，生态已进行恢复：对发射塔周围、塔基处及临时施工占地已进行固化和绿化处理，景观上做到与周围环境相协调，无居民上访现象。</w:t>
            </w:r>
          </w:p>
          <w:p>
            <w:pPr>
              <w:adjustRightInd w:val="0"/>
              <w:snapToGrid w:val="0"/>
              <w:spacing w:line="0" w:lineRule="atLeast"/>
              <w:ind w:firstLine="360" w:firstLineChars="15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二、运营期</w:t>
            </w:r>
          </w:p>
          <w:p>
            <w:pPr>
              <w:adjustRightInd w:val="0"/>
              <w:snapToGrid w:val="0"/>
              <w:spacing w:line="0" w:lineRule="atLeast"/>
              <w:ind w:firstLine="360" w:firstLineChars="15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（一）电磁辐射影响</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建议城市规划部门合理布置建筑物，本项目设置电磁辐射控制区域为电视塔周围200m范围，在控制区内建设离地高度超过50m的建筑物，应考虑电磁辐射环境影响，确保公众所受电磁环境影响不超过《电磁环境控制限值》（GB8702-2014）中公众曝露控制限值要求（12V/m）。</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（2）保证天线高度，发射塔周围500m范围内敏感点均满足电磁环境控制限值。</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（3）在满足天线信号强度的条件下，尽量降低天线发射功率。</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（4）对发射设备的操作，维护人员上岗前进行电磁辐射基础、电磁辐射防护规定及相关法律法规知识培训。</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（5）评价建议对项目附近设置警示标志，告诫公众不要长时间滞留在发射塔附近区域。经预测和现场监测，本项目变电站厂界和电磁敏感目标处电磁环境满足《电磁环境控制限值》（GB 8702-2014）中标准限值要求。</w:t>
            </w:r>
          </w:p>
          <w:p>
            <w:pPr>
              <w:adjustRightInd w:val="0"/>
              <w:snapToGrid w:val="0"/>
              <w:spacing w:line="0" w:lineRule="atLeast"/>
              <w:ind w:firstLine="360" w:firstLineChars="15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（二）废气环境影响</w:t>
            </w:r>
          </w:p>
          <w:p>
            <w:pPr>
              <w:adjustRightInd w:val="0"/>
              <w:snapToGrid w:val="0"/>
              <w:spacing w:line="0" w:lineRule="atLeast"/>
              <w:ind w:firstLine="360" w:firstLineChars="150"/>
              <w:rPr>
                <w:rFonts w:hint="eastAsia" w:ascii="楷体" w:hAnsi="楷体" w:eastAsia="楷体" w:cs="楷体"/>
                <w:kern w:val="0"/>
                <w:sz w:val="24"/>
                <w:szCs w:val="24"/>
                <w:lang w:val="en-US" w:eastAsia="zh-CN" w:bidi="ar-SA"/>
              </w:rPr>
            </w:pPr>
            <w:r>
              <w:rPr>
                <w:rFonts w:hint="eastAsia" w:ascii="仿宋" w:hAnsi="仿宋" w:eastAsia="仿宋" w:cs="仿宋"/>
                <w:kern w:val="0"/>
                <w:sz w:val="24"/>
                <w:szCs w:val="24"/>
                <w:lang w:val="en-US" w:eastAsia="zh-CN" w:bidi="ar-SA"/>
              </w:rPr>
              <w:t>本项目冬季发射机房采用电取暖，不设置食堂，无废气排放，因此对周围环境空气不会产生影响。</w:t>
            </w:r>
          </w:p>
          <w:p>
            <w:pPr>
              <w:adjustRightInd w:val="0"/>
              <w:snapToGrid w:val="0"/>
              <w:spacing w:line="0" w:lineRule="atLeast"/>
              <w:ind w:firstLine="360" w:firstLineChars="15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（三）废水环境影响</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本项目运营期产生的废水主要为生活污水。生活污水排入防渗化粪池，定期拉运至普阳排污站。</w:t>
            </w:r>
          </w:p>
          <w:p>
            <w:pPr>
              <w:adjustRightInd w:val="0"/>
              <w:snapToGrid w:val="0"/>
              <w:spacing w:line="0" w:lineRule="atLeast"/>
              <w:ind w:firstLine="360" w:firstLineChars="15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（四）噪声环境影响</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本项目采取采用低噪声设备，设备安装减振弹簧垫等措施后，厂界噪声满足《工业企业厂界环境噪声排放标准》（GB12348-2008）2类标准要求。</w:t>
            </w:r>
          </w:p>
          <w:p>
            <w:pPr>
              <w:adjustRightInd w:val="0"/>
              <w:snapToGrid w:val="0"/>
              <w:spacing w:line="0" w:lineRule="atLeast"/>
              <w:ind w:firstLine="360" w:firstLineChars="15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（五）固体废物环境影响</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本项目固体废物主要为生活垃圾和废铅蓄电池。生活垃圾集中收集后，定期由当地环卫部门处理；废铅蓄电池暂存在危废贮存库，交有资质单位处置。</w:t>
            </w:r>
          </w:p>
          <w:p>
            <w:pPr>
              <w:adjustRightInd w:val="0"/>
              <w:snapToGrid w:val="0"/>
              <w:spacing w:line="0" w:lineRule="atLeast"/>
              <w:ind w:firstLine="360" w:firstLineChars="15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 xml:space="preserve">三、环境风险防范措施  </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废铅蓄电池：（1）项目应配备有专业知识的技术人员，要设置经过严格培训的专人管理。要为管理人员配备可靠的个人防护用品（防护服、防护眼镜、防毒面具、耐腐蚀手套、鞋等）。</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（2）当确定要更换UPS系统的电池时，应委托有资质单位处置更换下来的废铅蓄电池。</w:t>
            </w:r>
          </w:p>
          <w:p>
            <w:pPr>
              <w:adjustRightInd w:val="0"/>
              <w:snapToGrid w:val="0"/>
              <w:spacing w:line="0" w:lineRule="atLeast"/>
              <w:ind w:firstLine="360" w:firstLineChars="15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（3）当产生危险废物时。危险废物的转移应严格按照《危险废物转移联单管理办法（总局令第5号）》执行，并填写危险废物转移联单。</w:t>
            </w:r>
          </w:p>
          <w:p>
            <w:pPr>
              <w:adjustRightInd w:val="0"/>
              <w:snapToGrid w:val="0"/>
              <w:spacing w:line="0" w:lineRule="atLeast"/>
              <w:ind w:firstLine="360" w:firstLineChars="150"/>
              <w:rPr>
                <w:rFonts w:ascii="仿宋" w:hAnsi="仿宋" w:eastAsia="仿宋" w:cs="仿宋"/>
                <w:sz w:val="24"/>
                <w:szCs w:val="24"/>
              </w:rPr>
            </w:pPr>
            <w:r>
              <w:rPr>
                <w:rFonts w:hint="eastAsia" w:ascii="仿宋" w:hAnsi="仿宋" w:eastAsia="仿宋" w:cs="仿宋"/>
                <w:kern w:val="0"/>
                <w:sz w:val="24"/>
                <w:szCs w:val="24"/>
                <w:lang w:val="en-US" w:eastAsia="zh-CN" w:bidi="ar-SA"/>
              </w:rPr>
              <w:t>（4）本项目设置1座危废贮存库，建筑面积为18.15m2，项目产生的危险废物放入危废贮存库进行暂存。危废贮存库基础必须防渗，防渗层采用2mm厚的高密度聚乙烯土工膜，渗透系数10—10cm/s。危废贮存库需满足《危险废物贮存污染控制标准》（GB18597-2023）中的相关要求。</w:t>
            </w:r>
          </w:p>
        </w:tc>
      </w:tr>
      <w:tr>
        <w:tblPrEx>
          <w:tblCellMar>
            <w:top w:w="0" w:type="dxa"/>
            <w:left w:w="0" w:type="dxa"/>
            <w:bottom w:w="0" w:type="dxa"/>
            <w:right w:w="0" w:type="dxa"/>
          </w:tblCellMar>
        </w:tblPrEx>
        <w:trPr>
          <w:trHeight w:val="90" w:hRule="atLeast"/>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hint="eastAsia" w:ascii="仿宋" w:hAnsi="仿宋" w:eastAsia="仿宋" w:cs="宋体"/>
              </w:rPr>
            </w:pPr>
            <w:r>
              <w:rPr>
                <w:rFonts w:hint="eastAsia" w:ascii="仿宋" w:hAnsi="仿宋" w:eastAsia="仿宋" w:cs="宋体"/>
              </w:rPr>
              <w:t>公众参与情况</w:t>
            </w:r>
          </w:p>
        </w:tc>
        <w:tc>
          <w:tcPr>
            <w:tcW w:w="837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sz w:val="24"/>
                <w:szCs w:val="24"/>
                <w:lang w:eastAsia="zh-CN"/>
              </w:rPr>
            </w:pPr>
            <w:r>
              <w:rPr>
                <w:rFonts w:hint="eastAsia" w:ascii="仿宋" w:hAnsi="仿宋" w:eastAsia="仿宋"/>
                <w:sz w:val="24"/>
                <w:szCs w:val="24"/>
                <w:lang w:eastAsia="zh-CN"/>
              </w:rPr>
              <w:t>无需开展</w:t>
            </w:r>
          </w:p>
        </w:tc>
      </w:tr>
      <w:tr>
        <w:tblPrEx>
          <w:tblCellMar>
            <w:top w:w="0" w:type="dxa"/>
            <w:left w:w="0" w:type="dxa"/>
            <w:bottom w:w="0" w:type="dxa"/>
            <w:right w:w="0" w:type="dxa"/>
          </w:tblCellMar>
        </w:tblPrEx>
        <w:trPr>
          <w:trHeight w:val="1242" w:hRule="atLeast"/>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5"/>
              <w:widowControl/>
              <w:spacing w:beforeAutospacing="0" w:afterAutospacing="0" w:line="15" w:lineRule="atLeast"/>
              <w:jc w:val="center"/>
              <w:rPr>
                <w:rFonts w:hint="eastAsia" w:ascii="仿宋" w:hAnsi="仿宋" w:eastAsia="仿宋" w:cs="宋体"/>
              </w:rPr>
            </w:pPr>
            <w:r>
              <w:rPr>
                <w:rFonts w:hint="eastAsia" w:ascii="仿宋" w:hAnsi="仿宋" w:eastAsia="仿宋" w:cs="宋体"/>
                <w:color w:val="0A2739"/>
              </w:rPr>
              <w:t>建设单位或地方政府所作出的相应环境保护措施承诺文件</w:t>
            </w:r>
          </w:p>
        </w:tc>
        <w:tc>
          <w:tcPr>
            <w:tcW w:w="837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sz w:val="24"/>
                <w:szCs w:val="24"/>
                <w:lang w:eastAsia="zh-CN"/>
              </w:rPr>
            </w:pPr>
            <w:r>
              <w:rPr>
                <w:rFonts w:hint="eastAsia" w:ascii="仿宋" w:hAnsi="仿宋" w:eastAsia="仿宋"/>
                <w:sz w:val="24"/>
                <w:szCs w:val="24"/>
                <w:lang w:eastAsia="zh-CN"/>
              </w:rPr>
              <w:t>无</w:t>
            </w:r>
          </w:p>
        </w:tc>
      </w:tr>
      <w:tr>
        <w:tblPrEx>
          <w:tblCellMar>
            <w:top w:w="0" w:type="dxa"/>
            <w:left w:w="0" w:type="dxa"/>
            <w:bottom w:w="0" w:type="dxa"/>
            <w:right w:w="0" w:type="dxa"/>
          </w:tblCellMar>
        </w:tblPrEx>
        <w:trPr>
          <w:tblCellSpacing w:w="15" w:type="dxa"/>
          <w:jc w:val="center"/>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widowControl/>
              <w:shd w:val="clear" w:color="auto" w:fill="FFFFFF"/>
              <w:jc w:val="center"/>
              <w:rPr>
                <w:rFonts w:hint="eastAsia" w:ascii="仿宋" w:hAnsi="仿宋" w:eastAsia="仿宋" w:cs="宋体"/>
              </w:rPr>
            </w:pPr>
            <w:r>
              <w:rPr>
                <w:rFonts w:hint="eastAsia" w:ascii="仿宋" w:hAnsi="仿宋" w:eastAsia="仿宋" w:cs="宋体"/>
                <w:bCs/>
                <w:color w:val="333333"/>
                <w:kern w:val="0"/>
                <w:sz w:val="24"/>
                <w:szCs w:val="24"/>
              </w:rPr>
              <w:t>拟批复意见</w:t>
            </w:r>
          </w:p>
        </w:tc>
        <w:tc>
          <w:tcPr>
            <w:tcW w:w="837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sz w:val="24"/>
                <w:szCs w:val="24"/>
              </w:rPr>
            </w:pPr>
            <w:r>
              <w:rPr>
                <w:rFonts w:hint="eastAsia" w:ascii="仿宋" w:hAnsi="仿宋" w:eastAsia="仿宋"/>
                <w:sz w:val="24"/>
                <w:szCs w:val="24"/>
              </w:rPr>
              <w:t>同意</w:t>
            </w:r>
          </w:p>
        </w:tc>
      </w:tr>
    </w:tbl>
    <w:p>
      <w:pPr>
        <w:pStyle w:val="5"/>
        <w:widowControl/>
        <w:shd w:val="clear" w:color="auto" w:fill="FFFFFF"/>
        <w:spacing w:before="0" w:beforeAutospacing="0" w:after="0" w:afterAutospacing="0" w:line="160" w:lineRule="atLeast"/>
        <w:rPr>
          <w:rFonts w:ascii="仿宋" w:hAnsi="仿宋" w:eastAsia="仿宋"/>
          <w:sz w:val="32"/>
          <w:szCs w:val="32"/>
        </w:rPr>
      </w:pPr>
    </w:p>
    <w:p>
      <w:pPr>
        <w:jc w:val="both"/>
        <w:rPr>
          <w:rFonts w:hint="eastAsia" w:ascii="仿宋" w:hAnsi="仿宋" w:eastAsia="仿宋" w:cs="仿宋"/>
          <w:sz w:val="32"/>
          <w:szCs w:val="32"/>
        </w:rPr>
      </w:pPr>
    </w:p>
    <w:p>
      <w:pPr>
        <w:pStyle w:val="4"/>
        <w:ind w:firstLine="4160" w:firstLineChars="13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zcwZGE3MzRhYTZjYjliNTM3NTdiMTJiYmYyODQifQ=="/>
  </w:docVars>
  <w:rsids>
    <w:rsidRoot w:val="18AD2317"/>
    <w:rsid w:val="04A623AF"/>
    <w:rsid w:val="11B0026D"/>
    <w:rsid w:val="18AD2317"/>
    <w:rsid w:val="19C43C17"/>
    <w:rsid w:val="1B995899"/>
    <w:rsid w:val="1DC64338"/>
    <w:rsid w:val="2BF66CC1"/>
    <w:rsid w:val="2C4770FE"/>
    <w:rsid w:val="34584B0D"/>
    <w:rsid w:val="356E7CE3"/>
    <w:rsid w:val="3FB61B98"/>
    <w:rsid w:val="3FEFB9A9"/>
    <w:rsid w:val="40BB6DA5"/>
    <w:rsid w:val="42612A83"/>
    <w:rsid w:val="4558257E"/>
    <w:rsid w:val="47E80DC4"/>
    <w:rsid w:val="508B5008"/>
    <w:rsid w:val="53C57A62"/>
    <w:rsid w:val="59D16FC2"/>
    <w:rsid w:val="5ACD0594"/>
    <w:rsid w:val="626302BB"/>
    <w:rsid w:val="777D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styleId="4">
    <w:name w:val="toc 2"/>
    <w:basedOn w:val="1"/>
    <w:next w:val="1"/>
    <w:qFormat/>
    <w:uiPriority w:val="0"/>
    <w:pPr>
      <w:ind w:left="420" w:leftChars="200"/>
    </w:pPr>
    <w:rPr>
      <w:rFonts w:ascii="Times New Roman" w:hAnsi="Times New Roman" w:eastAsia="宋体"/>
      <w:sz w:val="24"/>
    </w:rPr>
  </w:style>
  <w:style w:type="paragraph" w:styleId="5">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3176</Words>
  <Characters>3293</Characters>
  <Lines>0</Lines>
  <Paragraphs>0</Paragraphs>
  <TotalTime>2</TotalTime>
  <ScaleCrop>false</ScaleCrop>
  <LinksUpToDate>false</LinksUpToDate>
  <CharactersWithSpaces>3317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2021-05-18T08:41:00Z</dcterms:created>
  <dc:creator>遥遥遥遥遥远_</dc:creator>
  <cp:lastModifiedBy>Administrator</cp:lastModifiedBy>
  <cp:lastPrinted>2024-01-31T09:46:00Z</cp:lastPrinted>
  <dcterms:modified xsi:type="dcterms:W3CDTF">2024-05-15T02:18:34Z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70E3A3E243CB413ABEBF8B92900E959A_13</vt:lpwstr>
  </property>
  <property fmtid="{D5CDD505-2E9C-101B-9397-08002B2CF9AE}" pid="4" name="KSOSaveFontToCloudKey">
    <vt:lpwstr>241656245_cloud</vt:lpwstr>
  </property>
</Properties>
</file>