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color w:val="auto"/>
          <w:sz w:val="32"/>
          <w:szCs w:val="32"/>
        </w:rPr>
      </w:pPr>
      <w:r>
        <w:rPr>
          <w:rFonts w:hint="eastAsia" w:ascii="方正小标宋_GBK" w:hAnsi="方正小标宋_GBK" w:eastAsia="方正小标宋_GBK" w:cs="方正小标宋_GBK"/>
          <w:sz w:val="44"/>
          <w:szCs w:val="44"/>
        </w:rPr>
        <w:t>拟审批意见</w:t>
      </w:r>
    </w:p>
    <w:tbl>
      <w:tblPr>
        <w:tblStyle w:val="12"/>
        <w:tblW w:w="9555" w:type="dxa"/>
        <w:tblCellSpacing w:w="15" w:type="dxa"/>
        <w:tblInd w:w="-477" w:type="dxa"/>
        <w:tblLayout w:type="fixed"/>
        <w:tblCellMar>
          <w:top w:w="0" w:type="dxa"/>
          <w:left w:w="0" w:type="dxa"/>
          <w:bottom w:w="0" w:type="dxa"/>
          <w:right w:w="0" w:type="dxa"/>
        </w:tblCellMar>
      </w:tblPr>
      <w:tblGrid>
        <w:gridCol w:w="1822"/>
        <w:gridCol w:w="7733"/>
      </w:tblGrid>
      <w:tr>
        <w:trPr>
          <w:trHeight w:val="1157" w:hRule="atLeast"/>
          <w:tblCellSpacing w:w="15" w:type="dxa"/>
        </w:trPr>
        <w:tc>
          <w:tcPr>
            <w:tcW w:w="1777" w:type="dxa"/>
            <w:tcBorders>
              <w:top w:val="single" w:color="000000" w:sz="4" w:space="0"/>
              <w:left w:val="single" w:color="000000" w:sz="4" w:space="0"/>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建设项目</w:t>
            </w:r>
          </w:p>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名称</w:t>
            </w:r>
          </w:p>
        </w:tc>
        <w:tc>
          <w:tcPr>
            <w:tcW w:w="7688" w:type="dxa"/>
            <w:tcBorders>
              <w:top w:val="single" w:color="000000" w:sz="4" w:space="0"/>
              <w:left w:val="nil"/>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default" w:ascii="仿宋" w:hAnsi="仿宋" w:eastAsia="仿宋" w:cs="仿宋"/>
                <w:color w:val="auto"/>
                <w:kern w:val="2"/>
                <w:sz w:val="32"/>
                <w:szCs w:val="32"/>
                <w:highlight w:val="none"/>
                <w:lang w:val="en-US" w:eastAsia="zh-CN" w:bidi="ar-SA"/>
              </w:rPr>
              <w:t>黑龙江比优特东部物流产业园（仓储建设）项目</w:t>
            </w:r>
          </w:p>
        </w:tc>
      </w:tr>
      <w:tr>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建设地址</w:t>
            </w:r>
          </w:p>
        </w:tc>
        <w:tc>
          <w:tcPr>
            <w:tcW w:w="7688" w:type="dxa"/>
            <w:tcBorders>
              <w:top w:val="nil"/>
              <w:left w:val="nil"/>
              <w:bottom w:val="single" w:color="000000" w:sz="4" w:space="0"/>
              <w:right w:val="single" w:color="000000" w:sz="4" w:space="0"/>
            </w:tcBorders>
            <w:noWrap w:val="0"/>
            <w:tcMar>
              <w:left w:w="70" w:type="dxa"/>
              <w:right w:w="70" w:type="dxa"/>
            </w:tcMar>
            <w:vAlign w:val="top"/>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kern w:val="2"/>
                <w:sz w:val="32"/>
                <w:szCs w:val="32"/>
                <w:highlight w:val="none"/>
                <w:lang w:val="en-US" w:eastAsia="zh-CN"/>
              </w:rPr>
              <w:t>鹤岗市东山区新华镇四委（原新华镇政府街道办事处）</w:t>
            </w:r>
          </w:p>
        </w:tc>
      </w:tr>
      <w:tr>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w:t>
            </w:r>
          </w:p>
        </w:tc>
        <w:tc>
          <w:tcPr>
            <w:tcW w:w="7688" w:type="dxa"/>
            <w:tcBorders>
              <w:top w:val="nil"/>
              <w:left w:val="nil"/>
              <w:bottom w:val="single" w:color="000000" w:sz="4" w:space="0"/>
              <w:right w:val="single" w:color="000000" w:sz="4" w:space="0"/>
            </w:tcBorders>
            <w:noWrap w:val="0"/>
            <w:tcMar>
              <w:left w:w="70" w:type="dxa"/>
              <w:right w:w="70" w:type="dxa"/>
            </w:tcMar>
            <w:vAlign w:val="top"/>
          </w:tcPr>
          <w:p>
            <w:pPr>
              <w:pStyle w:val="9"/>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黑龙江比优特物流有限公司</w:t>
            </w:r>
          </w:p>
        </w:tc>
      </w:tr>
      <w:tr>
        <w:tblPrEx>
          <w:tblCellMar>
            <w:top w:w="0" w:type="dxa"/>
            <w:left w:w="0" w:type="dxa"/>
            <w:bottom w:w="0" w:type="dxa"/>
            <w:right w:w="0" w:type="dxa"/>
          </w:tblCellMar>
        </w:tblPrEx>
        <w:trPr>
          <w:trHeight w:val="1384"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环境影响</w:t>
            </w:r>
          </w:p>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评价单位</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lang w:val="en-US" w:eastAsia="zh-CN"/>
              </w:rPr>
            </w:pPr>
            <w:r>
              <w:rPr>
                <w:rFonts w:hint="eastAsia" w:ascii="仿宋" w:hAnsi="仿宋" w:eastAsia="仿宋" w:cs="仿宋"/>
                <w:color w:val="000000" w:themeColor="text1"/>
                <w:sz w:val="32"/>
                <w:szCs w:val="32"/>
                <w:lang w:eastAsia="zh-CN"/>
                <w14:textFill>
                  <w14:solidFill>
                    <w14:schemeClr w14:val="tx1"/>
                  </w14:solidFill>
                </w14:textFill>
              </w:rPr>
              <w:t>哈尔滨庄屿环境技术有限公司</w:t>
            </w:r>
          </w:p>
        </w:tc>
      </w:tr>
      <w:tr>
        <w:tblPrEx>
          <w:tblCellMar>
            <w:top w:w="0" w:type="dxa"/>
            <w:left w:w="0" w:type="dxa"/>
            <w:bottom w:w="0" w:type="dxa"/>
            <w:right w:w="0" w:type="dxa"/>
          </w:tblCellMar>
        </w:tblPrEx>
        <w:trPr>
          <w:trHeight w:val="97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项目概况</w:t>
            </w:r>
          </w:p>
        </w:tc>
        <w:tc>
          <w:tcPr>
            <w:tcW w:w="7688" w:type="dxa"/>
            <w:tcBorders>
              <w:top w:val="nil"/>
              <w:left w:val="nil"/>
              <w:bottom w:val="single" w:color="000000" w:sz="4" w:space="0"/>
              <w:right w:val="single" w:color="000000" w:sz="4" w:space="0"/>
            </w:tcBorders>
            <w:noWrap w:val="0"/>
            <w:tcMar>
              <w:left w:w="70" w:type="dxa"/>
              <w:right w:w="70" w:type="dxa"/>
            </w:tcMar>
            <w:vAlign w:val="top"/>
          </w:tcPr>
          <w:p>
            <w:pPr>
              <w:pStyle w:val="15"/>
              <w:ind w:left="0" w:leftChars="0" w:firstLine="480" w:firstLineChars="150"/>
              <w:rPr>
                <w:rFonts w:hint="default" w:ascii="仿宋" w:hAnsi="仿宋" w:eastAsia="仿宋" w:cs="仿宋"/>
                <w:color w:val="auto"/>
                <w:sz w:val="32"/>
                <w:szCs w:val="32"/>
                <w:lang w:val="en-US" w:eastAsia="zh-CN"/>
              </w:rPr>
            </w:pPr>
            <w:r>
              <w:rPr>
                <w:rFonts w:hint="eastAsia" w:ascii="仿宋" w:hAnsi="仿宋" w:eastAsia="仿宋" w:cs="仿宋"/>
                <w:color w:val="auto"/>
                <w:kern w:val="2"/>
                <w:sz w:val="32"/>
                <w:szCs w:val="32"/>
                <w:highlight w:val="none"/>
              </w:rPr>
              <w:t>项目性质</w:t>
            </w:r>
            <w:r>
              <w:rPr>
                <w:rFonts w:hint="eastAsia" w:ascii="仿宋" w:hAnsi="仿宋" w:eastAsia="仿宋" w:cs="仿宋"/>
                <w:color w:val="auto"/>
                <w:kern w:val="2"/>
                <w:sz w:val="32"/>
                <w:szCs w:val="32"/>
                <w:highlight w:val="none"/>
                <w:lang w:val="en-US" w:eastAsia="zh-CN"/>
              </w:rPr>
              <w:t>为</w:t>
            </w:r>
            <w:r>
              <w:rPr>
                <w:rFonts w:hint="eastAsia" w:ascii="仿宋" w:hAnsi="仿宋" w:eastAsia="仿宋" w:cs="仿宋"/>
                <w:color w:val="auto"/>
                <w:kern w:val="2"/>
                <w:sz w:val="32"/>
                <w:szCs w:val="32"/>
                <w:highlight w:val="none"/>
                <w:lang w:eastAsia="zh-CN"/>
              </w:rPr>
              <w:t>新建</w:t>
            </w:r>
            <w:r>
              <w:rPr>
                <w:rFonts w:hint="eastAsia" w:ascii="仿宋" w:hAnsi="仿宋" w:eastAsia="仿宋" w:cs="仿宋"/>
                <w:color w:val="auto"/>
                <w:kern w:val="2"/>
                <w:sz w:val="32"/>
                <w:szCs w:val="32"/>
                <w:highlight w:val="none"/>
              </w:rPr>
              <w:t>。本项目位于</w:t>
            </w:r>
            <w:r>
              <w:rPr>
                <w:rFonts w:hint="eastAsia" w:ascii="仿宋" w:hAnsi="仿宋" w:eastAsia="仿宋" w:cs="仿宋"/>
                <w:color w:val="auto"/>
                <w:kern w:val="2"/>
                <w:sz w:val="32"/>
                <w:szCs w:val="32"/>
                <w:highlight w:val="none"/>
                <w:lang w:val="en-US" w:eastAsia="zh-CN"/>
              </w:rPr>
              <w:t>黑龙江省鹤岗市东山区新华镇四委（原新华镇政府街道办事处）</w:t>
            </w:r>
            <w:r>
              <w:rPr>
                <w:rFonts w:hint="eastAsia" w:ascii="仿宋" w:hAnsi="仿宋" w:eastAsia="仿宋" w:cs="仿宋"/>
                <w:color w:val="auto"/>
                <w:kern w:val="2"/>
                <w:sz w:val="32"/>
                <w:szCs w:val="32"/>
                <w:highlight w:val="none"/>
              </w:rPr>
              <w:t>，项目中心坐标为东经</w:t>
            </w:r>
            <w:r>
              <w:rPr>
                <w:rFonts w:hint="default" w:ascii="Times New Roman" w:hAnsi="Times New Roman" w:eastAsia="仿宋" w:cs="Times New Roman"/>
                <w:color w:val="auto"/>
                <w:kern w:val="2"/>
                <w:sz w:val="32"/>
                <w:szCs w:val="32"/>
                <w:highlight w:val="none"/>
              </w:rPr>
              <w:t>13</w:t>
            </w:r>
            <w:r>
              <w:rPr>
                <w:rFonts w:hint="eastAsia" w:hAnsi="Times New Roman" w:eastAsia="仿宋" w:cs="Times New Roman"/>
                <w:color w:val="auto"/>
                <w:kern w:val="2"/>
                <w:sz w:val="32"/>
                <w:szCs w:val="32"/>
                <w:highlight w:val="none"/>
                <w:lang w:val="en-US" w:eastAsia="zh-CN"/>
              </w:rPr>
              <w:t>0</w:t>
            </w:r>
            <w:r>
              <w:rPr>
                <w:rFonts w:hint="default" w:ascii="Times New Roman" w:hAnsi="Times New Roman" w:eastAsia="仿宋" w:cs="Times New Roman"/>
                <w:color w:val="auto"/>
                <w:kern w:val="2"/>
                <w:sz w:val="32"/>
                <w:szCs w:val="32"/>
                <w:highlight w:val="none"/>
              </w:rPr>
              <w:t>°</w:t>
            </w:r>
            <w:r>
              <w:rPr>
                <w:rFonts w:hint="eastAsia" w:hAnsi="Times New Roman" w:eastAsia="仿宋" w:cs="Times New Roman"/>
                <w:color w:val="auto"/>
                <w:kern w:val="2"/>
                <w:sz w:val="32"/>
                <w:szCs w:val="32"/>
                <w:highlight w:val="none"/>
                <w:lang w:val="en-US" w:eastAsia="zh-CN"/>
              </w:rPr>
              <w:t>17</w:t>
            </w:r>
            <w:r>
              <w:rPr>
                <w:rFonts w:hint="default" w:ascii="Times New Roman" w:hAnsi="Times New Roman" w:eastAsia="仿宋" w:cs="Times New Roman"/>
                <w:color w:val="auto"/>
                <w:kern w:val="2"/>
                <w:sz w:val="32"/>
                <w:szCs w:val="32"/>
                <w:highlight w:val="none"/>
              </w:rPr>
              <w:t>′</w:t>
            </w:r>
            <w:r>
              <w:rPr>
                <w:rFonts w:hint="eastAsia" w:hAnsi="Times New Roman" w:eastAsia="仿宋" w:cs="Times New Roman"/>
                <w:color w:val="auto"/>
                <w:kern w:val="2"/>
                <w:sz w:val="32"/>
                <w:szCs w:val="32"/>
                <w:highlight w:val="none"/>
                <w:lang w:val="en-US" w:eastAsia="zh-CN"/>
              </w:rPr>
              <w:t xml:space="preserve">18.747 </w:t>
            </w:r>
            <w:r>
              <w:rPr>
                <w:rFonts w:hint="default" w:ascii="Times New Roman" w:hAnsi="Times New Roman" w:eastAsia="仿宋" w:cs="Times New Roman"/>
                <w:color w:val="auto"/>
                <w:kern w:val="2"/>
                <w:sz w:val="32"/>
                <w:szCs w:val="32"/>
                <w:highlight w:val="none"/>
              </w:rPr>
              <w:t>″，北纬</w:t>
            </w:r>
            <w:r>
              <w:rPr>
                <w:rFonts w:hint="default" w:ascii="Times New Roman" w:hAnsi="Times New Roman" w:eastAsia="仿宋" w:cs="Times New Roman"/>
                <w:color w:val="auto"/>
                <w:kern w:val="2"/>
                <w:sz w:val="32"/>
                <w:szCs w:val="32"/>
                <w:highlight w:val="none"/>
                <w:lang w:val="en-US" w:eastAsia="zh-CN"/>
              </w:rPr>
              <w:t>47°7′2</w:t>
            </w:r>
            <w:r>
              <w:rPr>
                <w:rFonts w:hint="eastAsia" w:hAnsi="Times New Roman" w:eastAsia="仿宋" w:cs="Times New Roman"/>
                <w:color w:val="auto"/>
                <w:kern w:val="2"/>
                <w:sz w:val="32"/>
                <w:szCs w:val="32"/>
                <w:highlight w:val="none"/>
                <w:lang w:val="en-US" w:eastAsia="zh-CN"/>
              </w:rPr>
              <w:t>4.547</w:t>
            </w:r>
            <w:r>
              <w:rPr>
                <w:rFonts w:hint="default" w:ascii="Times New Roman" w:hAnsi="Times New Roman" w:eastAsia="仿宋" w:cs="Times New Roman"/>
                <w:color w:val="auto"/>
                <w:kern w:val="2"/>
                <w:sz w:val="32"/>
                <w:szCs w:val="32"/>
                <w:highlight w:val="none"/>
                <w:lang w:val="en-US" w:eastAsia="zh-CN"/>
              </w:rPr>
              <w:t>″</w:t>
            </w:r>
            <w:r>
              <w:rPr>
                <w:rFonts w:hint="default" w:ascii="Times New Roman" w:hAnsi="Times New Roman" w:eastAsia="仿宋" w:cs="Times New Roman"/>
                <w:color w:val="auto"/>
                <w:kern w:val="2"/>
                <w:sz w:val="32"/>
                <w:szCs w:val="32"/>
                <w:highlight w:val="none"/>
              </w:rPr>
              <w:t>。本</w:t>
            </w:r>
            <w:r>
              <w:rPr>
                <w:rFonts w:hint="default" w:ascii="仿宋" w:hAnsi="仿宋" w:eastAsia="仿宋" w:cs="仿宋"/>
                <w:color w:val="auto"/>
                <w:kern w:val="2"/>
                <w:sz w:val="32"/>
                <w:szCs w:val="32"/>
                <w:highlight w:val="none"/>
                <w:lang w:val="en-US" w:eastAsia="zh-CN"/>
              </w:rPr>
              <w:t>项目总占地面积</w:t>
            </w:r>
            <w:r>
              <w:rPr>
                <w:rFonts w:hint="eastAsia" w:ascii="仿宋" w:hAnsi="仿宋" w:eastAsia="仿宋" w:cs="仿宋"/>
                <w:color w:val="auto"/>
                <w:kern w:val="2"/>
                <w:sz w:val="32"/>
                <w:szCs w:val="32"/>
                <w:highlight w:val="none"/>
                <w:lang w:val="en-US" w:eastAsia="zh-CN"/>
              </w:rPr>
              <w:t>58377</w:t>
            </w:r>
            <w:r>
              <w:rPr>
                <w:rFonts w:hint="default" w:ascii="仿宋" w:hAnsi="仿宋" w:eastAsia="仿宋" w:cs="仿宋"/>
                <w:color w:val="auto"/>
                <w:kern w:val="2"/>
                <w:sz w:val="32"/>
                <w:szCs w:val="32"/>
                <w:highlight w:val="none"/>
                <w:lang w:val="en-US" w:eastAsia="zh-CN"/>
              </w:rPr>
              <w:t>m</w:t>
            </w:r>
            <w:r>
              <w:rPr>
                <w:rFonts w:hint="default" w:ascii="仿宋" w:hAnsi="仿宋" w:eastAsia="仿宋" w:cs="仿宋"/>
                <w:color w:val="auto"/>
                <w:kern w:val="2"/>
                <w:sz w:val="32"/>
                <w:szCs w:val="32"/>
                <w:highlight w:val="none"/>
                <w:vertAlign w:val="superscript"/>
                <w:lang w:val="en-US" w:eastAsia="zh-CN"/>
              </w:rPr>
              <w:t>2</w:t>
            </w:r>
            <w:r>
              <w:rPr>
                <w:rFonts w:hint="default" w:ascii="仿宋" w:hAnsi="仿宋" w:eastAsia="仿宋" w:cs="仿宋"/>
                <w:color w:val="auto"/>
                <w:kern w:val="2"/>
                <w:sz w:val="32"/>
                <w:szCs w:val="32"/>
                <w:highlight w:val="none"/>
                <w:lang w:val="en-US" w:eastAsia="zh-CN"/>
              </w:rPr>
              <w:t>，总建筑面积41017.27m</w:t>
            </w:r>
            <w:r>
              <w:rPr>
                <w:rFonts w:hint="default" w:ascii="仿宋" w:hAnsi="仿宋" w:eastAsia="仿宋" w:cs="仿宋"/>
                <w:color w:val="auto"/>
                <w:kern w:val="2"/>
                <w:sz w:val="32"/>
                <w:szCs w:val="32"/>
                <w:highlight w:val="none"/>
                <w:vertAlign w:val="superscript"/>
                <w:lang w:val="en-US" w:eastAsia="zh-CN"/>
              </w:rPr>
              <w:t>2</w:t>
            </w:r>
            <w:r>
              <w:rPr>
                <w:rFonts w:hint="default" w:ascii="仿宋" w:hAnsi="仿宋" w:eastAsia="仿宋" w:cs="仿宋"/>
                <w:color w:val="auto"/>
                <w:kern w:val="2"/>
                <w:sz w:val="32"/>
                <w:szCs w:val="32"/>
                <w:highlight w:val="none"/>
                <w:lang w:val="en-US" w:eastAsia="zh-CN"/>
              </w:rPr>
              <w:t>。本项目规划建设</w:t>
            </w:r>
            <w:r>
              <w:rPr>
                <w:rFonts w:hint="eastAsia" w:ascii="仿宋" w:hAnsi="仿宋" w:eastAsia="仿宋" w:cs="仿宋"/>
                <w:color w:val="auto"/>
                <w:kern w:val="2"/>
                <w:sz w:val="32"/>
                <w:szCs w:val="32"/>
                <w:highlight w:val="none"/>
                <w:lang w:val="en-US" w:eastAsia="zh-CN"/>
              </w:rPr>
              <w:t>仓储、肉制品及副产品加工、</w:t>
            </w:r>
            <w:r>
              <w:rPr>
                <w:rFonts w:hint="default" w:ascii="仿宋" w:hAnsi="仿宋" w:eastAsia="仿宋" w:cs="仿宋"/>
                <w:color w:val="auto"/>
                <w:kern w:val="2"/>
                <w:sz w:val="32"/>
                <w:szCs w:val="32"/>
                <w:highlight w:val="none"/>
                <w:lang w:val="en-US" w:eastAsia="zh-CN"/>
              </w:rPr>
              <w:t>豆制品制造</w:t>
            </w:r>
            <w:r>
              <w:rPr>
                <w:rFonts w:hint="eastAsia" w:ascii="仿宋" w:hAnsi="仿宋" w:eastAsia="仿宋" w:cs="仿宋"/>
                <w:color w:val="auto"/>
                <w:kern w:val="2"/>
                <w:sz w:val="32"/>
                <w:szCs w:val="32"/>
                <w:highlight w:val="none"/>
                <w:lang w:val="en-US" w:eastAsia="zh-CN"/>
              </w:rPr>
              <w:t>、糕点面</w:t>
            </w:r>
            <w:r>
              <w:rPr>
                <w:rFonts w:hint="eastAsia" w:ascii="Times New Roman" w:hAnsi="Times New Roman" w:eastAsia="仿宋" w:cs="Times New Roman"/>
                <w:color w:val="auto"/>
                <w:kern w:val="2"/>
                <w:sz w:val="32"/>
                <w:szCs w:val="32"/>
                <w:highlight w:val="none"/>
                <w:lang w:val="en-US" w:eastAsia="zh-CN"/>
              </w:rPr>
              <w:t>包制造项目</w:t>
            </w:r>
            <w:r>
              <w:rPr>
                <w:rFonts w:hint="default" w:ascii="Times New Roman" w:hAnsi="Times New Roman" w:eastAsia="仿宋" w:cs="Times New Roman"/>
                <w:color w:val="auto"/>
                <w:kern w:val="2"/>
                <w:sz w:val="32"/>
                <w:szCs w:val="32"/>
                <w:highlight w:val="none"/>
                <w:lang w:val="en-US" w:eastAsia="zh-CN"/>
              </w:rPr>
              <w:t>，建设内容为</w:t>
            </w:r>
            <w:r>
              <w:rPr>
                <w:rFonts w:hint="eastAsia" w:ascii="Times New Roman" w:hAnsi="Times New Roman" w:eastAsia="仿宋" w:cs="Times New Roman"/>
                <w:color w:val="auto"/>
                <w:kern w:val="2"/>
                <w:sz w:val="32"/>
                <w:szCs w:val="32"/>
                <w:highlight w:val="none"/>
                <w:lang w:val="en-US" w:eastAsia="zh-CN"/>
              </w:rPr>
              <w:t>男女更衣室、休息室、冷藏库、香蕉库、冷冻间、加工材料冷冻间、卫生间、仓储区、洗框机操作间、叉车存放间、戊类库房、工具间、熟食加工生产车间、烘焙加工生产车间、豆芽加工生产车间、纳豆加工生产车间、3#分拨中心、门卫、雨蓬、地下室</w:t>
            </w:r>
            <w:r>
              <w:rPr>
                <w:rFonts w:hint="default" w:ascii="Times New Roman" w:hAnsi="Times New Roman" w:eastAsia="仿宋" w:cs="Times New Roman"/>
                <w:color w:val="auto"/>
                <w:kern w:val="2"/>
                <w:sz w:val="32"/>
                <w:szCs w:val="32"/>
                <w:highlight w:val="none"/>
                <w:lang w:val="en-US" w:eastAsia="zh-CN"/>
              </w:rPr>
              <w:t>。</w:t>
            </w:r>
            <w:r>
              <w:rPr>
                <w:rFonts w:hint="eastAsia" w:ascii="Times New Roman" w:hAnsi="Times New Roman" w:eastAsia="仿宋" w:cs="Times New Roman"/>
                <w:color w:val="auto"/>
                <w:kern w:val="2"/>
                <w:sz w:val="32"/>
                <w:szCs w:val="32"/>
                <w:highlight w:val="none"/>
                <w:lang w:val="en-US" w:eastAsia="zh-CN"/>
              </w:rPr>
              <w:t>项目</w:t>
            </w:r>
            <w:r>
              <w:rPr>
                <w:rFonts w:hint="eastAsia" w:ascii="仿宋" w:hAnsi="仿宋" w:eastAsia="仿宋" w:cs="仿宋"/>
                <w:color w:val="auto"/>
                <w:kern w:val="2"/>
                <w:sz w:val="32"/>
                <w:szCs w:val="32"/>
                <w:highlight w:val="none"/>
                <w:lang w:val="en-US" w:eastAsia="zh-CN"/>
              </w:rPr>
              <w:t>总投资16900万元，环保</w:t>
            </w:r>
            <w:r>
              <w:rPr>
                <w:rFonts w:hint="eastAsia" w:ascii="Times New Roman" w:hAnsi="Times New Roman" w:eastAsia="仿宋" w:cs="Times New Roman"/>
                <w:color w:val="auto"/>
                <w:kern w:val="2"/>
                <w:sz w:val="32"/>
                <w:szCs w:val="32"/>
                <w:highlight w:val="none"/>
                <w:lang w:val="en-US" w:eastAsia="zh-CN"/>
              </w:rPr>
              <w:t>投资100万元，环保投资占比0.59%。</w:t>
            </w:r>
          </w:p>
        </w:tc>
      </w:tr>
      <w:tr>
        <w:tblPrEx>
          <w:tblCellMar>
            <w:top w:w="0" w:type="dxa"/>
            <w:left w:w="0" w:type="dxa"/>
            <w:bottom w:w="0" w:type="dxa"/>
            <w:right w:w="0" w:type="dxa"/>
          </w:tblCellMar>
        </w:tblPrEx>
        <w:trPr>
          <w:trHeight w:val="2106"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主要环境影响及预防或者减轻不良影响的对策和措施</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autoSpaceDN w:val="0"/>
              <w:adjustRightInd w:val="0"/>
              <w:snapToGrid w:val="0"/>
              <w:spacing w:line="360" w:lineRule="auto"/>
              <w:ind w:firstLine="640" w:firstLineChars="200"/>
              <w:rPr>
                <w:rFonts w:hint="default" w:ascii="黑体" w:hAnsi="黑体" w:eastAsia="黑体" w:cs="黑体"/>
                <w:color w:val="auto"/>
                <w:sz w:val="32"/>
                <w:szCs w:val="32"/>
                <w:lang w:eastAsia="zh-CN"/>
              </w:rPr>
            </w:pPr>
            <w:r>
              <w:rPr>
                <w:rFonts w:hint="default" w:ascii="黑体" w:hAnsi="黑体" w:eastAsia="黑体" w:cs="黑体"/>
                <w:color w:val="auto"/>
                <w:sz w:val="32"/>
                <w:szCs w:val="32"/>
                <w:lang w:eastAsia="zh-CN"/>
              </w:rPr>
              <w:t>一、施工期</w:t>
            </w:r>
          </w:p>
          <w:p>
            <w:pPr>
              <w:autoSpaceDN w:val="0"/>
              <w:adjustRightInd w:val="0"/>
              <w:snapToGrid w:val="0"/>
              <w:spacing w:line="360" w:lineRule="auto"/>
              <w:ind w:firstLine="480" w:firstLineChars="15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（一）大气污染防治措施</w:t>
            </w:r>
          </w:p>
          <w:p>
            <w:pPr>
              <w:autoSpaceDN w:val="0"/>
              <w:adjustRightInd w:val="0"/>
              <w:snapToGrid w:val="0"/>
              <w:spacing w:line="360" w:lineRule="auto"/>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施工过程中产生的主要大气污染源是扬尘以及施工机械、运输车辆废气。</w:t>
            </w:r>
          </w:p>
          <w:p>
            <w:pPr>
              <w:autoSpaceDN w:val="0"/>
              <w:adjustRightInd w:val="0"/>
              <w:snapToGrid w:val="0"/>
              <w:spacing w:line="360" w:lineRule="auto"/>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（1）施工期粉尘防治措施分析</w:t>
            </w:r>
          </w:p>
          <w:p>
            <w:pPr>
              <w:autoSpaceDN w:val="0"/>
              <w:adjustRightInd w:val="0"/>
              <w:snapToGrid w:val="0"/>
              <w:spacing w:line="360" w:lineRule="auto"/>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施工场地四周设置围栏，当起风时，可使影响距离缩短；基础开挖等过程，应洒水使作业面保持一定的湿度；对施工场地内松散、干涸的表土，经常洒水防止扬尘；施工单位必须加强施工区域的管理，建筑材料的堆场应定点定位，不宜设在居住区的上风向，根据风速，采取相应的防尘措施，对散料堆场采用水喷淋防尘，或用蓬布遮盖散料堆。</w:t>
            </w:r>
          </w:p>
          <w:p>
            <w:pPr>
              <w:autoSpaceDN w:val="0"/>
              <w:adjustRightInd w:val="0"/>
              <w:snapToGrid w:val="0"/>
              <w:spacing w:line="360" w:lineRule="auto"/>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（2）施工机械及车辆废气防治措施分析</w:t>
            </w:r>
          </w:p>
          <w:p>
            <w:pPr>
              <w:autoSpaceDN w:val="0"/>
              <w:adjustRightInd w:val="0"/>
              <w:snapToGrid w:val="0"/>
              <w:spacing w:line="360" w:lineRule="auto"/>
              <w:ind w:firstLine="640" w:firstLineChars="200"/>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lang w:val="en-US" w:eastAsia="zh-CN"/>
              </w:rPr>
              <w:t>加强对施工机械及车辆的检修和维护，严禁使用超期服役和尾气超标的施工机械及车辆。对施工期间进出施工现场车流量进行合理安排，防止施工现场车流量过大。尽可能使用耗油低，排气小的施工车辆，选用优质燃油，减少机械和车辆的有害废气排放。</w:t>
            </w:r>
          </w:p>
          <w:p>
            <w:pPr>
              <w:autoSpaceDN w:val="0"/>
              <w:adjustRightInd w:val="0"/>
              <w:snapToGrid w:val="0"/>
              <w:spacing w:line="360" w:lineRule="auto"/>
              <w:ind w:firstLine="640" w:firstLineChars="20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（二）水污染防治措施</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场地设沉淀池，将场地施工废水收集沉淀处理后全部回用于砂石骨料加工、周围区域道路降尘用水，禁止排入地表水体系内污染水体。对施工流动机械的冲洗设固定场所，冲洗水进入沉淀池处理后全部回用于周围区域绿化及道路降尘用水，禁止排入地表水体系内污染水体。施工过程中产生的生活污水排入旱厕中，定期清掏用于周边农田施肥。施工单位对施工场地用水应严格管理，贯彻“一水多用、重复利用、节约用水”的原则，尽量减少废水的排放量，减轻废水排放对周围环境的影响。</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（三）噪声污染防治措施</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合理布置施工场地；选用机械噪声较低的设备，减少高噪声设备的使用；严格操作规程，加强施工机械管理，规范建筑物料、土石方清运车辆进出工地高速行驶、鸣笛等，降低人为噪声影响；对位置相对固定的施工机械，如切割机、电锯等，将其设置在专门的工棚内，同时选用低噪声设备，并采取一定的吸音、隔声、降噪措施，控制施工机械噪声符合《建筑施工场界环境噪声排放标准》（GB 12523-2011），做到施工场界噪声达标排放。</w:t>
            </w:r>
          </w:p>
          <w:p>
            <w:pPr>
              <w:autoSpaceDN w:val="0"/>
              <w:adjustRightInd w:val="0"/>
              <w:snapToGrid w:val="0"/>
              <w:spacing w:line="360" w:lineRule="auto"/>
              <w:ind w:firstLine="640" w:firstLineChars="200"/>
              <w:rPr>
                <w:rFonts w:hint="default" w:ascii="仿宋" w:hAnsi="仿宋" w:eastAsia="仿宋" w:cs="仿宋"/>
                <w:color w:val="auto"/>
                <w:sz w:val="32"/>
                <w:szCs w:val="32"/>
                <w:lang w:val="en-US" w:eastAsia="zh-CN"/>
              </w:rPr>
            </w:pPr>
            <w:r>
              <w:rPr>
                <w:rFonts w:hint="eastAsia" w:ascii="楷体" w:hAnsi="楷体" w:eastAsia="楷体" w:cs="楷体"/>
                <w:color w:val="auto"/>
                <w:sz w:val="32"/>
                <w:szCs w:val="32"/>
                <w:lang w:val="en-US" w:eastAsia="zh-CN"/>
              </w:rPr>
              <w:t>（四）固体废物处置措施</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施工期的固体废弃物主要包括建筑垃圾和生活垃圾。主要处理措施：地基处理、开挖产生土石方及其他建筑垃圾，包装袋、包装箱、碎木块、废水泥等，首先对其中可回收利用部分进行回收，施工过程中产生的弃土用于回填、铺路、绿化等。建设单位在施工生活区设置垃圾箱（桶），生活垃圾固定地点堆放，分类收集，定期由当地环卫部门运往指定垃圾场卫生填埋处理。施工期建筑垃圾与生活垃圾分类堆放、分别处置。定期清运到城市监管部门指定地点处置。</w:t>
            </w:r>
          </w:p>
          <w:p>
            <w:pPr>
              <w:autoSpaceDN w:val="0"/>
              <w:adjustRightInd w:val="0"/>
              <w:snapToGrid w:val="0"/>
              <w:spacing w:line="360" w:lineRule="auto"/>
              <w:ind w:left="638" w:leftChars="304" w:firstLine="0" w:firstLineChars="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（五）生态环境保护措施</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本项目为新建项目，新增用地，项目占地类型为二类物流仓储用地，目前项目占地无植被覆盖，生态保护采取如下措施减小对植被的破坏：</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①合理选择施工时间，避开雨季和大风天气。</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②项目组应该制定详细的施工方案，项目施工负责人应做好施工队伍的思想教育工作，规范操作。</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③采用不同的施工方案，尽量缩短施工时间；</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④在施工过程中应严格控制施工作业范围。</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⑤施工结束后，不得有裸露地面，均应采取硬化或绿化措施。</w:t>
            </w:r>
          </w:p>
          <w:p>
            <w:pPr>
              <w:autoSpaceDN w:val="0"/>
              <w:adjustRightInd w:val="0"/>
              <w:snapToGrid w:val="0"/>
              <w:spacing w:line="360" w:lineRule="auto"/>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运营期</w:t>
            </w:r>
          </w:p>
          <w:p>
            <w:pPr>
              <w:autoSpaceDN w:val="0"/>
              <w:adjustRightInd w:val="0"/>
              <w:snapToGrid w:val="0"/>
              <w:spacing w:line="360" w:lineRule="auto"/>
              <w:ind w:firstLine="480" w:firstLineChars="150"/>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（一）大气污染防治措施</w:t>
            </w:r>
          </w:p>
          <w:p>
            <w:pPr>
              <w:autoSpaceDN w:val="0"/>
              <w:adjustRightInd w:val="0"/>
              <w:snapToGrid w:val="0"/>
              <w:spacing w:line="360" w:lineRule="auto"/>
              <w:ind w:firstLine="640" w:firstLineChars="200"/>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lang w:val="en-US" w:eastAsia="zh-CN"/>
              </w:rPr>
              <w:t>项目运营期废气主要包括：</w:t>
            </w:r>
            <w:r>
              <w:rPr>
                <w:rFonts w:hint="eastAsia" w:ascii="仿宋" w:hAnsi="仿宋" w:eastAsia="仿宋" w:cs="仿宋"/>
                <w:color w:val="auto"/>
                <w:sz w:val="32"/>
                <w:szCs w:val="32"/>
                <w:highlight w:val="none"/>
                <w:lang w:val="en-US" w:eastAsia="zh-CN"/>
              </w:rPr>
              <w:t>熟食及烘焙生产过程产生的饮食油烟及纳豆发酵过程产生的臭气</w:t>
            </w:r>
            <w:r>
              <w:rPr>
                <w:rFonts w:hint="default" w:ascii="仿宋" w:hAnsi="仿宋" w:eastAsia="仿宋" w:cs="仿宋"/>
                <w:color w:val="auto"/>
                <w:sz w:val="32"/>
                <w:szCs w:val="32"/>
                <w:highlight w:val="none"/>
                <w:lang w:val="en-US" w:eastAsia="zh-CN"/>
              </w:rPr>
              <w:t>。</w:t>
            </w:r>
          </w:p>
          <w:p>
            <w:pPr>
              <w:autoSpaceDN w:val="0"/>
              <w:adjustRightInd w:val="0"/>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熟食、烘焙生产过程产生废气经油烟净化器处理后通过一根25m高排气筒排出，纳豆产生异味经光催化氧化装置处理后通过一根25m高排气筒排出。采取上述措施后，熟食车间产生烟气满足《饮食业油烟排放标准》(试行)（GB18483-2001）表2标准，臭气浓度符合《恶臭污染物排放标准》（GB 14554-93）表2中浓度限值。</w:t>
            </w:r>
          </w:p>
          <w:p>
            <w:pPr>
              <w:autoSpaceDN w:val="0"/>
              <w:adjustRightInd w:val="0"/>
              <w:snapToGrid w:val="0"/>
              <w:spacing w:line="360" w:lineRule="auto"/>
              <w:ind w:firstLine="480" w:firstLineChars="150"/>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（二）水污染防治措施</w:t>
            </w:r>
          </w:p>
          <w:p>
            <w:pPr>
              <w:autoSpaceDN w:val="0"/>
              <w:adjustRightInd w:val="0"/>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1.废水</w:t>
            </w:r>
          </w:p>
          <w:p>
            <w:pPr>
              <w:autoSpaceDN w:val="0"/>
              <w:adjustRightInd w:val="0"/>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本项目废水包括工作人员生活污水、豆芽生产废水、纳豆生产废水、熟食生产废水、烘焙生产废水、地面清洗用水。</w:t>
            </w:r>
          </w:p>
          <w:p>
            <w:pPr>
              <w:autoSpaceDN w:val="0"/>
              <w:adjustRightInd w:val="0"/>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污水处理站设有隔油池，烘焙生产废水、纳豆生产废水、熟食生产废水、地面清洗废水经厂区自建一体化污水处理设备处理后达到《污水综合排放标准》（GB16297-1996）三级标准，排入新华农场污水处理厂处理达到《城镇污水处理厂污染物排放标准》（GB18918-2002）一级A排放标准后，排入鹤立河，进入梧桐河，最终汇入松花江。豆芽生产废水污染物浓度满足《污水综合排放标准》（GB16297-1996）三级标准，与生活污水一同排入市政管网，排入新华农场污水处理厂处理达到《城镇污水处理厂污染物排放标准》（GB18918-2002）一级A排放标准后，排入鹤立河，进入梧桐河，最终汇入松花江。</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2.地下水</w:t>
            </w:r>
          </w:p>
          <w:p>
            <w:pPr>
              <w:autoSpaceDN w:val="0"/>
              <w:adjustRightInd w:val="0"/>
              <w:snapToGrid w:val="0"/>
              <w:spacing w:line="360" w:lineRule="auto"/>
              <w:ind w:firstLine="640" w:firstLineChars="200"/>
              <w:rPr>
                <w:rFonts w:hint="eastAsia" w:ascii="仿宋" w:hAnsi="仿宋" w:eastAsia="仿宋" w:cs="仿宋"/>
                <w:color w:val="auto"/>
                <w:sz w:val="32"/>
                <w:szCs w:val="32"/>
                <w:lang w:val="en-GB" w:eastAsia="zh-CN"/>
              </w:rPr>
            </w:pPr>
            <w:r>
              <w:rPr>
                <w:rFonts w:hint="eastAsia" w:ascii="仿宋" w:hAnsi="仿宋" w:eastAsia="仿宋" w:cs="仿宋"/>
                <w:color w:val="auto"/>
                <w:sz w:val="32"/>
                <w:szCs w:val="32"/>
                <w:lang w:val="en-GB" w:eastAsia="zh-CN"/>
              </w:rPr>
              <w:t>本项目为有效规避地下水污染风险，应按照“源头控制、分区控制、污染监控、应急响应”的主动与被动防渗相结合的原则。本项目拟采用如下地下水防治措施：</w:t>
            </w:r>
          </w:p>
          <w:p>
            <w:pPr>
              <w:autoSpaceDN w:val="0"/>
              <w:adjustRightInd w:val="0"/>
              <w:snapToGrid w:val="0"/>
              <w:spacing w:line="360" w:lineRule="auto"/>
              <w:ind w:firstLine="640" w:firstLineChars="200"/>
              <w:rPr>
                <w:rFonts w:hint="eastAsia" w:ascii="仿宋" w:hAnsi="仿宋" w:eastAsia="仿宋" w:cs="仿宋"/>
                <w:color w:val="auto"/>
                <w:sz w:val="32"/>
                <w:szCs w:val="32"/>
                <w:lang w:val="en-GB" w:eastAsia="zh-CN"/>
              </w:rPr>
            </w:pPr>
            <w:r>
              <w:rPr>
                <w:rFonts w:hint="eastAsia" w:ascii="仿宋" w:hAnsi="仿宋" w:eastAsia="仿宋" w:cs="仿宋"/>
                <w:color w:val="auto"/>
                <w:sz w:val="32"/>
                <w:szCs w:val="32"/>
                <w:lang w:val="en-GB" w:eastAsia="zh-CN"/>
              </w:rPr>
              <w:t>（1）源头控制</w:t>
            </w:r>
          </w:p>
          <w:p>
            <w:pPr>
              <w:autoSpaceDN w:val="0"/>
              <w:adjustRightInd w:val="0"/>
              <w:snapToGrid w:val="0"/>
              <w:spacing w:line="360" w:lineRule="auto"/>
              <w:ind w:firstLine="640" w:firstLineChars="200"/>
              <w:rPr>
                <w:rFonts w:hint="eastAsia" w:ascii="仿宋" w:hAnsi="仿宋" w:eastAsia="仿宋" w:cs="仿宋"/>
                <w:color w:val="auto"/>
                <w:sz w:val="32"/>
                <w:szCs w:val="32"/>
                <w:lang w:val="en-GB" w:eastAsia="zh-CN"/>
              </w:rPr>
            </w:pPr>
            <w:r>
              <w:rPr>
                <w:rFonts w:hint="eastAsia" w:ascii="仿宋" w:hAnsi="仿宋" w:eastAsia="仿宋" w:cs="仿宋"/>
                <w:color w:val="auto"/>
                <w:sz w:val="32"/>
                <w:szCs w:val="32"/>
                <w:lang w:val="en-GB" w:eastAsia="zh-CN"/>
              </w:rPr>
              <w:t>本项目应根据国家现行相关规范加强管理，采取防止和降低污染物跑、冒、滴、漏的措施。正常运行过程中应加强控制及处理机修过程中污染物的跑、冒、滴、漏，同时应加强对防渗工程的检查，若发现防渗材料老化或损坏，应及时维修更换。</w:t>
            </w:r>
          </w:p>
          <w:p>
            <w:pPr>
              <w:autoSpaceDN w:val="0"/>
              <w:adjustRightInd w:val="0"/>
              <w:snapToGrid w:val="0"/>
              <w:spacing w:line="360" w:lineRule="auto"/>
              <w:ind w:firstLine="640" w:firstLineChars="200"/>
              <w:rPr>
                <w:rFonts w:hint="eastAsia" w:ascii="仿宋" w:hAnsi="仿宋" w:eastAsia="仿宋" w:cs="仿宋"/>
                <w:color w:val="auto"/>
                <w:sz w:val="32"/>
                <w:szCs w:val="32"/>
                <w:lang w:val="en-GB" w:eastAsia="zh-CN"/>
              </w:rPr>
            </w:pPr>
            <w:r>
              <w:rPr>
                <w:rFonts w:hint="eastAsia" w:ascii="仿宋" w:hAnsi="仿宋" w:eastAsia="仿宋" w:cs="仿宋"/>
                <w:color w:val="auto"/>
                <w:sz w:val="32"/>
                <w:szCs w:val="32"/>
                <w:lang w:val="en-GB" w:eastAsia="zh-CN"/>
              </w:rPr>
              <w:t>（2）分区防治措施</w:t>
            </w:r>
          </w:p>
          <w:p>
            <w:pPr>
              <w:autoSpaceDN w:val="0"/>
              <w:adjustRightInd w:val="0"/>
              <w:snapToGrid w:val="0"/>
              <w:spacing w:line="360" w:lineRule="auto"/>
              <w:ind w:firstLine="640" w:firstLineChars="200"/>
              <w:rPr>
                <w:rFonts w:hint="eastAsia" w:ascii="仿宋" w:hAnsi="仿宋" w:eastAsia="仿宋" w:cs="仿宋"/>
                <w:color w:val="auto"/>
                <w:sz w:val="32"/>
                <w:szCs w:val="32"/>
                <w:lang w:val="en-GB" w:eastAsia="zh-CN"/>
              </w:rPr>
            </w:pPr>
            <w:r>
              <w:rPr>
                <w:rFonts w:hint="eastAsia" w:ascii="仿宋" w:hAnsi="仿宋" w:eastAsia="仿宋" w:cs="仿宋"/>
                <w:color w:val="auto"/>
                <w:sz w:val="32"/>
                <w:szCs w:val="32"/>
                <w:lang w:val="en-GB" w:eastAsia="zh-CN"/>
              </w:rPr>
              <w:t>根据《环境影响评价技术导则地下水环境》（HJ610-2016）11.2.2.1条的要求，拟建项目地下水污染防治分区要依据相关行业标准或防渗技术规范。</w:t>
            </w:r>
          </w:p>
          <w:p>
            <w:pPr>
              <w:autoSpaceDN w:val="0"/>
              <w:adjustRightInd w:val="0"/>
              <w:snapToGrid w:val="0"/>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GB" w:eastAsia="zh-CN"/>
              </w:rPr>
              <w:t>在正常情况下，本项目不会对地下水、土壤产生影响。根据《环境影响评价技术导则 地下水环境》（HJ610-2016）11.2.2.1条的要求，拟建项目为防止发生泄漏事故，根据各生产装置、辅助设施及公用工程设施的布置，将厂区严格区分为污染区和非污染区。生产车间、污水处理区域做一般防渗处理，防渗等级不低于1.5m厚粘土，渗透系数不大于10</w:t>
            </w:r>
            <w:r>
              <w:rPr>
                <w:rFonts w:hint="eastAsia" w:ascii="仿宋" w:hAnsi="仿宋" w:eastAsia="仿宋" w:cs="仿宋"/>
                <w:color w:val="auto"/>
                <w:sz w:val="32"/>
                <w:szCs w:val="32"/>
                <w:vertAlign w:val="superscript"/>
                <w:lang w:val="en-GB" w:eastAsia="zh-CN"/>
              </w:rPr>
              <w:t>-7</w:t>
            </w:r>
            <w:r>
              <w:rPr>
                <w:rFonts w:hint="eastAsia" w:ascii="仿宋" w:hAnsi="仿宋" w:eastAsia="仿宋" w:cs="仿宋"/>
                <w:color w:val="auto"/>
                <w:sz w:val="32"/>
                <w:szCs w:val="32"/>
                <w:lang w:val="en-GB" w:eastAsia="zh-CN"/>
              </w:rPr>
              <w:t>cm/s的防渗性能；储油间进行重点防渗，柴油贮罐区的地面应为防渗漏水泥地坪，油罐所在区域四周建设围堰，围堰高度1m时容积能够达到储油罐最大储存量，保证产生泄露时柴油不外溢，采用2mm厚的高密度聚乙烯土工膜及混凝土地面，渗透系数≤1×10</w:t>
            </w:r>
            <w:r>
              <w:rPr>
                <w:rFonts w:hint="eastAsia" w:ascii="仿宋" w:hAnsi="仿宋" w:eastAsia="仿宋" w:cs="仿宋"/>
                <w:color w:val="auto"/>
                <w:sz w:val="32"/>
                <w:szCs w:val="32"/>
                <w:vertAlign w:val="superscript"/>
                <w:lang w:val="en-GB" w:eastAsia="zh-CN"/>
              </w:rPr>
              <w:t>-10</w:t>
            </w:r>
            <w:r>
              <w:rPr>
                <w:rFonts w:hint="eastAsia" w:ascii="仿宋" w:hAnsi="仿宋" w:eastAsia="仿宋" w:cs="仿宋"/>
                <w:color w:val="auto"/>
                <w:sz w:val="32"/>
                <w:szCs w:val="32"/>
                <w:lang w:val="en-GB" w:eastAsia="zh-CN"/>
              </w:rPr>
              <w:t>cm/s。办公区、辅料库、厂区道路等其它区域设置为简单污染防渗区，进行简单地面硬化。</w:t>
            </w:r>
          </w:p>
          <w:p>
            <w:pPr>
              <w:autoSpaceDN w:val="0"/>
              <w:adjustRightInd w:val="0"/>
              <w:snapToGrid w:val="0"/>
              <w:spacing w:line="360" w:lineRule="auto"/>
              <w:ind w:firstLine="480" w:firstLineChars="150"/>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（三）噪声污染防治措施</w:t>
            </w:r>
          </w:p>
          <w:p>
            <w:pPr>
              <w:autoSpaceDN w:val="0"/>
              <w:adjustRightInd w:val="0"/>
              <w:snapToGrid w:val="0"/>
              <w:spacing w:line="360" w:lineRule="auto"/>
              <w:ind w:firstLine="480" w:firstLineChars="1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本评价针对其影响采取以下降噪措施，具体如下：</w:t>
            </w:r>
          </w:p>
          <w:p>
            <w:pPr>
              <w:autoSpaceDN w:val="0"/>
              <w:adjustRightInd w:val="0"/>
              <w:snapToGrid w:val="0"/>
              <w:spacing w:line="360" w:lineRule="auto"/>
              <w:ind w:firstLine="480" w:firstLineChars="1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①降低噪声源，已选用低噪声设备；</w:t>
            </w:r>
          </w:p>
          <w:p>
            <w:pPr>
              <w:autoSpaceDN w:val="0"/>
              <w:adjustRightInd w:val="0"/>
              <w:snapToGrid w:val="0"/>
              <w:spacing w:line="360" w:lineRule="auto"/>
              <w:ind w:firstLine="480" w:firstLineChars="1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②已做好设备间的隔声、吸声措施；</w:t>
            </w:r>
          </w:p>
          <w:p>
            <w:pPr>
              <w:autoSpaceDN w:val="0"/>
              <w:adjustRightInd w:val="0"/>
              <w:snapToGrid w:val="0"/>
              <w:spacing w:line="360" w:lineRule="auto"/>
              <w:ind w:firstLine="480" w:firstLineChars="1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③运行时加强设备维护，确保项目运行中设备处于良好的运转状态，杜绝因设备不正常运转时产生的高噪声现象发生；</w:t>
            </w:r>
          </w:p>
          <w:p>
            <w:pPr>
              <w:autoSpaceDN w:val="0"/>
              <w:adjustRightInd w:val="0"/>
              <w:snapToGrid w:val="0"/>
              <w:spacing w:line="360" w:lineRule="auto"/>
              <w:ind w:firstLine="480" w:firstLineChars="1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④调教好风机的动平衡，减少震动噪声的产生；同时风机采取减振降噪措施，减少噪声的产生。</w:t>
            </w:r>
          </w:p>
          <w:p>
            <w:pPr>
              <w:autoSpaceDN w:val="0"/>
              <w:adjustRightInd w:val="0"/>
              <w:snapToGrid w:val="0"/>
              <w:spacing w:line="360" w:lineRule="auto"/>
              <w:ind w:firstLine="480" w:firstLineChars="15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本工程选用低噪声设备，经减振、消声、隔声处理等降噪措施后，厂界噪声值满足《工业企业厂界环境噪声排放标准》（GB12348-2008）表1中2类标准要求。</w:t>
            </w:r>
          </w:p>
          <w:p>
            <w:pPr>
              <w:autoSpaceDN w:val="0"/>
              <w:adjustRightInd w:val="0"/>
              <w:snapToGrid w:val="0"/>
              <w:spacing w:line="360" w:lineRule="auto"/>
              <w:ind w:firstLine="480" w:firstLineChars="150"/>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（四）固体废物处置措施</w:t>
            </w:r>
          </w:p>
          <w:p>
            <w:pPr>
              <w:snapToGrid w:val="0"/>
              <w:spacing w:line="360" w:lineRule="auto"/>
              <w:ind w:firstLine="640" w:firstLineChars="200"/>
              <w:rPr>
                <w:rFonts w:hint="default"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lang w:eastAsia="zh-CN"/>
              </w:rPr>
              <w:t>本项目产生的固体废物主要为生活垃圾、废包装材料</w:t>
            </w:r>
            <w:r>
              <w:rPr>
                <w:rFonts w:hint="eastAsia" w:ascii="仿宋" w:hAnsi="仿宋" w:eastAsia="仿宋" w:cs="仿宋"/>
                <w:color w:val="auto"/>
                <w:sz w:val="32"/>
                <w:szCs w:val="32"/>
                <w:highlight w:val="none"/>
                <w:lang w:eastAsia="zh-CN"/>
              </w:rPr>
              <w:t>、</w:t>
            </w:r>
            <w:r>
              <w:rPr>
                <w:rFonts w:hint="default" w:ascii="仿宋" w:hAnsi="仿宋" w:eastAsia="仿宋" w:cs="仿宋"/>
                <w:color w:val="auto"/>
                <w:sz w:val="32"/>
                <w:szCs w:val="32"/>
                <w:highlight w:val="none"/>
                <w:lang w:eastAsia="zh-CN"/>
              </w:rPr>
              <w:t>废肉渣、废卤料、废黄豆、不合格产品、豆皮、鸡蛋壳。</w:t>
            </w:r>
          </w:p>
          <w:p>
            <w:pPr>
              <w:snapToGrid w:val="0"/>
              <w:spacing w:line="360" w:lineRule="auto"/>
              <w:ind w:firstLine="640" w:firstLineChars="200"/>
              <w:rPr>
                <w:rFonts w:hint="default" w:ascii="仿宋" w:hAnsi="仿宋" w:eastAsia="仿宋" w:cs="仿宋"/>
                <w:color w:val="auto"/>
                <w:sz w:val="32"/>
                <w:szCs w:val="32"/>
                <w:highlight w:val="none"/>
                <w:lang w:eastAsia="zh-CN"/>
              </w:rPr>
            </w:pPr>
            <w:r>
              <w:rPr>
                <w:rFonts w:hint="default" w:ascii="仿宋" w:hAnsi="仿宋" w:eastAsia="仿宋" w:cs="仿宋"/>
                <w:color w:val="auto"/>
                <w:sz w:val="32"/>
                <w:szCs w:val="32"/>
                <w:highlight w:val="none"/>
                <w:lang w:eastAsia="zh-CN"/>
              </w:rPr>
              <w:t>生活垃圾、废包装材料定期交由市政统一处理。废肉渣、废卤料、废黄豆、不合格产品、豆皮、鸡蛋壳均属于厨余垃圾，收集后委托中节能（鹤岗）环保能源有限公司处置。</w:t>
            </w:r>
          </w:p>
          <w:p>
            <w:pPr>
              <w:autoSpaceDN w:val="0"/>
              <w:adjustRightInd w:val="0"/>
              <w:snapToGrid w:val="0"/>
              <w:spacing w:line="360" w:lineRule="auto"/>
              <w:ind w:firstLine="640" w:firstLineChars="200"/>
              <w:rPr>
                <w:rFonts w:hint="eastAsia" w:ascii="仿宋" w:hAnsi="仿宋" w:eastAsia="仿宋" w:cs="仿宋"/>
                <w:color w:val="auto"/>
                <w:sz w:val="32"/>
                <w:szCs w:val="32"/>
                <w:highlight w:val="none"/>
                <w:lang w:val="en-US" w:eastAsia="zh-CN"/>
              </w:rPr>
            </w:pPr>
            <w:r>
              <w:rPr>
                <w:rFonts w:hint="default"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lang w:eastAsia="zh-CN"/>
              </w:rPr>
              <w:t>、</w:t>
            </w:r>
            <w:r>
              <w:rPr>
                <w:rFonts w:hint="eastAsia" w:ascii="黑体" w:hAnsi="黑体" w:eastAsia="黑体" w:cs="黑体"/>
                <w:color w:val="auto"/>
                <w:sz w:val="32"/>
                <w:szCs w:val="32"/>
                <w:highlight w:val="none"/>
                <w:lang w:val="en-US" w:eastAsia="zh-CN"/>
              </w:rPr>
              <w:t>环境风险防范措施</w:t>
            </w:r>
          </w:p>
          <w:p>
            <w:pPr>
              <w:snapToGrid w:val="0"/>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highlight w:val="none"/>
              </w:rPr>
              <w:t>本项目主要危险物质包括柴油，项目危险物质的存储条件和设施必须严格按照有关文件中的要求执行，并按照相关要求严格管理；并按照消防法规规定落实各项防火等措施和制度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制定科学合理的风险应急预案。通过采取以上各项风险防范措施及应急救援措施，可降低各种事故的发生，降低对周围环境的不利影响，环境风险在可接受范围内。</w:t>
            </w:r>
          </w:p>
        </w:tc>
      </w:tr>
      <w:tr>
        <w:tblPrEx>
          <w:tblCellMar>
            <w:top w:w="0" w:type="dxa"/>
            <w:left w:w="0" w:type="dxa"/>
            <w:bottom w:w="0" w:type="dxa"/>
            <w:right w:w="0" w:type="dxa"/>
          </w:tblCellMar>
        </w:tblPrEx>
        <w:trPr>
          <w:trHeight w:val="1223"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公众参与</w:t>
            </w:r>
          </w:p>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情况</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spacing w:line="0" w:lineRule="atLeast"/>
              <w:jc w:val="center"/>
              <w:rPr>
                <w:rFonts w:hint="eastAsia" w:ascii="仿宋" w:hAnsi="仿宋" w:eastAsia="仿宋" w:cs="仿宋"/>
                <w:color w:val="auto"/>
                <w:sz w:val="32"/>
                <w:szCs w:val="32"/>
                <w:lang w:eastAsia="zh-CN"/>
              </w:rPr>
            </w:pPr>
            <w:bookmarkStart w:id="0" w:name="_GoBack"/>
            <w:bookmarkEnd w:id="0"/>
          </w:p>
        </w:tc>
      </w:tr>
      <w:tr>
        <w:tblPrEx>
          <w:tblCellMar>
            <w:top w:w="0" w:type="dxa"/>
            <w:left w:w="0" w:type="dxa"/>
            <w:bottom w:w="0" w:type="dxa"/>
            <w:right w:w="0" w:type="dxa"/>
          </w:tblCellMar>
        </w:tblPrEx>
        <w:trPr>
          <w:trHeight w:val="3101" w:hRule="atLeast"/>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pStyle w:val="9"/>
              <w:widowControl/>
              <w:spacing w:beforeAutospacing="0" w:afterAutospacing="0" w:line="15"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建设单位或地方政府所作出的相应环境保护措施承诺文件</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spacing w:line="0" w:lineRule="atLeast"/>
              <w:jc w:val="center"/>
              <w:rPr>
                <w:rFonts w:hint="eastAsia" w:ascii="仿宋" w:hAnsi="仿宋" w:eastAsia="仿宋" w:cs="仿宋"/>
                <w:color w:val="auto"/>
                <w:sz w:val="32"/>
                <w:szCs w:val="32"/>
              </w:rPr>
            </w:pPr>
          </w:p>
        </w:tc>
      </w:tr>
      <w:tr>
        <w:tblPrEx>
          <w:tblCellMar>
            <w:top w:w="0" w:type="dxa"/>
            <w:left w:w="0" w:type="dxa"/>
            <w:bottom w:w="0" w:type="dxa"/>
            <w:right w:w="0" w:type="dxa"/>
          </w:tblCellMar>
        </w:tblPrEx>
        <w:trPr>
          <w:tblCellSpacing w:w="15" w:type="dxa"/>
        </w:trPr>
        <w:tc>
          <w:tcPr>
            <w:tcW w:w="1777" w:type="dxa"/>
            <w:tcBorders>
              <w:top w:val="nil"/>
              <w:left w:val="single" w:color="000000" w:sz="4" w:space="0"/>
              <w:bottom w:val="single" w:color="000000" w:sz="4" w:space="0"/>
              <w:right w:val="single" w:color="000000" w:sz="4" w:space="0"/>
            </w:tcBorders>
            <w:noWrap w:val="0"/>
            <w:tcMar>
              <w:left w:w="70" w:type="dxa"/>
              <w:right w:w="70" w:type="dxa"/>
            </w:tcMar>
            <w:vAlign w:val="center"/>
          </w:tcPr>
          <w:p>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拟批复</w:t>
            </w:r>
          </w:p>
          <w:p>
            <w:pPr>
              <w:widowControl/>
              <w:shd w:val="clear" w:color="auto" w:fill="FFFFFF"/>
              <w:jc w:val="center"/>
              <w:rPr>
                <w:rFonts w:hint="eastAsia" w:ascii="仿宋" w:hAnsi="仿宋" w:eastAsia="仿宋" w:cs="仿宋"/>
                <w:color w:val="auto"/>
                <w:kern w:val="0"/>
                <w:sz w:val="32"/>
                <w:szCs w:val="32"/>
              </w:rPr>
            </w:pPr>
            <w:r>
              <w:rPr>
                <w:rFonts w:hint="eastAsia" w:ascii="仿宋" w:hAnsi="仿宋" w:eastAsia="仿宋" w:cs="仿宋"/>
                <w:bCs/>
                <w:color w:val="auto"/>
                <w:kern w:val="0"/>
                <w:sz w:val="32"/>
                <w:szCs w:val="32"/>
              </w:rPr>
              <w:t>意见</w:t>
            </w:r>
          </w:p>
        </w:tc>
        <w:tc>
          <w:tcPr>
            <w:tcW w:w="7688" w:type="dxa"/>
            <w:tcBorders>
              <w:top w:val="nil"/>
              <w:left w:val="nil"/>
              <w:bottom w:val="single" w:color="000000" w:sz="4" w:space="0"/>
              <w:right w:val="single" w:color="000000" w:sz="4" w:space="0"/>
            </w:tcBorders>
            <w:noWrap w:val="0"/>
            <w:tcMar>
              <w:left w:w="70" w:type="dxa"/>
              <w:right w:w="70" w:type="dxa"/>
            </w:tcMar>
            <w:vAlign w:val="center"/>
          </w:tcPr>
          <w:p>
            <w:pPr>
              <w:spacing w:line="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同意</w:t>
            </w:r>
          </w:p>
        </w:tc>
      </w:tr>
    </w:tbl>
    <w:p>
      <w:pPr>
        <w:pStyle w:val="4"/>
        <w:rPr>
          <w:rFonts w:hint="eastAsia" w:ascii="仿宋" w:hAnsi="仿宋" w:eastAsia="仿宋" w:cs="仿宋"/>
          <w:bCs w:val="0"/>
          <w:color w:val="auto"/>
          <w:kern w:val="0"/>
          <w:sz w:val="32"/>
          <w:szCs w:val="32"/>
          <w:lang w:val="en-US" w:eastAsia="zh-CN" w:bidi="ar-SA"/>
        </w:rPr>
      </w:pPr>
    </w:p>
    <w:p>
      <w:pPr>
        <w:rPr>
          <w:rFonts w:hint="eastAsia" w:ascii="仿宋" w:hAnsi="仿宋" w:eastAsia="仿宋" w:cs="仿宋"/>
          <w:bCs w:val="0"/>
          <w:color w:val="auto"/>
          <w:kern w:val="0"/>
          <w:sz w:val="32"/>
          <w:szCs w:val="32"/>
          <w:lang w:val="en-US" w:eastAsia="zh-CN" w:bidi="ar-SA"/>
        </w:rPr>
      </w:pPr>
    </w:p>
    <w:p>
      <w:pPr>
        <w:jc w:val="right"/>
        <w:rPr>
          <w:rFonts w:hint="eastAsia" w:ascii="仿宋" w:hAnsi="仿宋" w:eastAsia="仿宋" w:cs="仿宋"/>
          <w:color w:val="auto"/>
          <w:sz w:val="32"/>
          <w:szCs w:val="32"/>
        </w:rPr>
      </w:pPr>
      <w:r>
        <w:rPr>
          <w:rFonts w:hint="eastAsia" w:ascii="仿宋" w:hAnsi="仿宋" w:eastAsia="仿宋" w:cs="仿宋"/>
          <w:color w:val="auto"/>
          <w:sz w:val="32"/>
          <w:szCs w:val="32"/>
        </w:rPr>
        <w:t>鹤岗市生态环境局</w:t>
      </w:r>
    </w:p>
    <w:p>
      <w:pPr>
        <w:pStyle w:val="4"/>
        <w:rPr>
          <w:rFonts w:hint="eastAsia"/>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5NzdhNDY4ZTA4YTIxNDg5ZTY4ZTZkZGYxMGE5MmIifQ=="/>
  </w:docVars>
  <w:rsids>
    <w:rsidRoot w:val="37171A61"/>
    <w:rsid w:val="06C54CB0"/>
    <w:rsid w:val="191B31ED"/>
    <w:rsid w:val="1C427076"/>
    <w:rsid w:val="24A52768"/>
    <w:rsid w:val="37171A61"/>
    <w:rsid w:val="3B7D557D"/>
    <w:rsid w:val="40E63C12"/>
    <w:rsid w:val="498D1428"/>
    <w:rsid w:val="4B3B3D5F"/>
    <w:rsid w:val="559B0B2A"/>
    <w:rsid w:val="58DD4C54"/>
    <w:rsid w:val="5F8B1768"/>
    <w:rsid w:val="6C994A99"/>
    <w:rsid w:val="7B197433"/>
    <w:rsid w:val="7E266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4"/>
    <w:basedOn w:val="1"/>
    <w:next w:val="1"/>
    <w:autoRedefine/>
    <w:qFormat/>
    <w:uiPriority w:val="0"/>
    <w:pPr>
      <w:keepNext/>
      <w:keepLines/>
      <w:snapToGrid w:val="0"/>
      <w:spacing w:line="360" w:lineRule="auto"/>
      <w:jc w:val="left"/>
      <w:outlineLvl w:val="3"/>
    </w:pPr>
    <w:rPr>
      <w:rFonts w:ascii="Arial" w:hAnsi="Arial"/>
      <w:bCs/>
      <w:sz w:val="2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next w:val="1"/>
    <w:autoRedefine/>
    <w:qFormat/>
    <w:uiPriority w:val="0"/>
    <w:pPr>
      <w:widowControl w:val="0"/>
      <w:autoSpaceDE w:val="0"/>
      <w:autoSpaceDN w:val="0"/>
      <w:adjustRightInd w:val="0"/>
    </w:pPr>
    <w:rPr>
      <w:rFonts w:ascii="宋体" w:hAnsi="Times New Roman" w:cs="宋体"/>
      <w:color w:val="000000"/>
      <w:sz w:val="24"/>
      <w:szCs w:val="24"/>
      <w:lang w:val="en-US" w:eastAsia="zh-CN" w:bidi="ar-SA"/>
    </w:rPr>
  </w:style>
  <w:style w:type="paragraph" w:customStyle="1" w:styleId="3">
    <w:name w:val="纯文本1"/>
    <w:basedOn w:val="1"/>
    <w:qFormat/>
    <w:uiPriority w:val="0"/>
    <w:rPr>
      <w:rFonts w:hint="eastAsia" w:ascii="宋体" w:hAnsi="Courier New"/>
      <w:szCs w:val="22"/>
    </w:rPr>
  </w:style>
  <w:style w:type="paragraph" w:styleId="5">
    <w:name w:val="table of authorities"/>
    <w:basedOn w:val="1"/>
    <w:next w:val="1"/>
    <w:autoRedefine/>
    <w:qFormat/>
    <w:uiPriority w:val="0"/>
    <w:pPr>
      <w:spacing w:line="360" w:lineRule="auto"/>
      <w:ind w:left="420" w:leftChars="200" w:firstLine="640" w:firstLineChars="200"/>
    </w:pPr>
    <w:rPr>
      <w:sz w:val="24"/>
      <w:szCs w:val="24"/>
    </w:rPr>
  </w:style>
  <w:style w:type="paragraph" w:styleId="6">
    <w:name w:val="Body Text"/>
    <w:basedOn w:val="1"/>
    <w:next w:val="7"/>
    <w:qFormat/>
    <w:uiPriority w:val="0"/>
    <w:pPr>
      <w:widowControl/>
      <w:snapToGrid w:val="0"/>
      <w:spacing w:before="60" w:after="160" w:line="259" w:lineRule="auto"/>
      <w:ind w:right="113"/>
    </w:pPr>
    <w:rPr>
      <w:kern w:val="0"/>
      <w:sz w:val="18"/>
      <w:szCs w:val="20"/>
    </w:rPr>
  </w:style>
  <w:style w:type="paragraph" w:customStyle="1" w:styleId="7">
    <w:name w:val="baby-正文"/>
    <w:basedOn w:val="6"/>
    <w:next w:val="8"/>
    <w:autoRedefine/>
    <w:qFormat/>
    <w:uiPriority w:val="0"/>
    <w:pPr>
      <w:spacing w:line="240" w:lineRule="auto"/>
      <w:ind w:firstLine="0" w:firstLineChars="0"/>
    </w:pPr>
    <w:rPr>
      <w:rFonts w:ascii="仿宋_GB2312" w:hAnsi="宋体"/>
      <w:bCs/>
      <w:kern w:val="2"/>
      <w:sz w:val="30"/>
      <w:szCs w:val="24"/>
      <w:lang w:val="en-US" w:eastAsia="zh-CN"/>
    </w:rPr>
  </w:style>
  <w:style w:type="paragraph" w:styleId="8">
    <w:name w:val="Balloon Text"/>
    <w:basedOn w:val="1"/>
    <w:autoRedefine/>
    <w:qFormat/>
    <w:uiPriority w:val="99"/>
    <w:rPr>
      <w:rFonts w:ascii="Calibri" w:hAnsi="Calibri"/>
      <w:color w:val="000000"/>
      <w:sz w:val="18"/>
      <w:szCs w:val="18"/>
    </w:rPr>
  </w:style>
  <w:style w:type="paragraph" w:styleId="9">
    <w:name w:val="Normal (Web)"/>
    <w:basedOn w:val="1"/>
    <w:autoRedefine/>
    <w:qFormat/>
    <w:uiPriority w:val="0"/>
    <w:pPr>
      <w:spacing w:before="100" w:beforeAutospacing="1" w:after="100" w:afterAutospacing="1"/>
      <w:jc w:val="left"/>
    </w:pPr>
    <w:rPr>
      <w:kern w:val="0"/>
      <w:sz w:val="24"/>
      <w:szCs w:val="24"/>
    </w:rPr>
  </w:style>
  <w:style w:type="paragraph" w:styleId="10">
    <w:name w:val="Title"/>
    <w:basedOn w:val="1"/>
    <w:next w:val="1"/>
    <w:autoRedefine/>
    <w:qFormat/>
    <w:uiPriority w:val="10"/>
    <w:pPr>
      <w:widowControl w:val="0"/>
      <w:spacing w:before="120" w:beforeLines="0" w:after="120" w:afterLines="0"/>
      <w:ind w:firstLine="0" w:firstLineChars="0"/>
      <w:outlineLvl w:val="0"/>
    </w:pPr>
    <w:rPr>
      <w:rFonts w:ascii="Cambria" w:hAnsi="Cambria" w:cs="Times New Roman"/>
      <w:b/>
      <w:bCs/>
      <w:sz w:val="32"/>
      <w:szCs w:val="32"/>
    </w:rPr>
  </w:style>
  <w:style w:type="paragraph" w:styleId="11">
    <w:name w:val="Body Text First Indent"/>
    <w:basedOn w:val="6"/>
    <w:next w:val="1"/>
    <w:autoRedefine/>
    <w:qFormat/>
    <w:uiPriority w:val="0"/>
    <w:pPr>
      <w:spacing w:after="120"/>
      <w:ind w:firstLine="420" w:firstLineChars="100"/>
    </w:pPr>
  </w:style>
  <w:style w:type="paragraph" w:customStyle="1" w:styleId="14">
    <w:name w:val="【正文】"/>
    <w:autoRedefine/>
    <w:qFormat/>
    <w:uiPriority w:val="0"/>
    <w:pPr>
      <w:widowControl/>
      <w:spacing w:line="500" w:lineRule="exact"/>
      <w:jc w:val="left"/>
    </w:pPr>
    <w:rPr>
      <w:rFonts w:ascii="宋体" w:hAnsi="Calibri" w:eastAsia="Calibri" w:cs="Times New Roman"/>
      <w:kern w:val="0"/>
      <w:sz w:val="20"/>
      <w:szCs w:val="20"/>
      <w:lang w:val="en-US" w:eastAsia="zh-CN" w:bidi="ar-SA"/>
    </w:rPr>
  </w:style>
  <w:style w:type="paragraph" w:customStyle="1" w:styleId="15">
    <w:name w:val="正文（首行缩进两字） Char"/>
    <w:basedOn w:val="1"/>
    <w:autoRedefine/>
    <w:qFormat/>
    <w:uiPriority w:val="0"/>
    <w:pPr>
      <w:widowControl/>
      <w:spacing w:line="360" w:lineRule="auto"/>
      <w:ind w:firstLine="420"/>
      <w:jc w:val="both"/>
    </w:pPr>
    <w:rPr>
      <w:rFonts w:ascii="Times New Roman" w:eastAsia="宋体"/>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3387</Words>
  <Characters>3583</Characters>
  <Lines>0</Lines>
  <Paragraphs>0</Paragraphs>
  <TotalTime>27</TotalTime>
  <ScaleCrop>false</ScaleCrop>
  <LinksUpToDate>false</LinksUpToDate>
  <CharactersWithSpaces>3624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2023-12-25T06:12:00Z</dcterms:created>
  <dc:creator>Dawn</dc:creator>
  <cp:lastModifiedBy>Dawn</cp:lastModifiedBy>
  <dcterms:modified xsi:type="dcterms:W3CDTF">2024-06-21T06:33:52Z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EA3AD6004EE345F1ACEC1280B6C8AB45_11</vt:lpwstr>
  </property>
</Properties>
</file>