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ascii="Calibri" w:hAnsi="Calibri" w:cs="Calibri"/>
          <w:spacing w:val="15"/>
          <w:sz w:val="21"/>
          <w:szCs w:val="21"/>
        </w:rPr>
      </w:pPr>
      <w:r>
        <w:rPr>
          <w:rFonts w:ascii="方正小标宋简体" w:hAnsi="方正小标宋简体" w:eastAsia="方正小标宋简体" w:cs="方正小标宋简体"/>
          <w:b w:val="0"/>
          <w:bCs w:val="0"/>
          <w:i w:val="0"/>
          <w:iCs w:val="0"/>
          <w:caps w:val="0"/>
          <w:color w:val="000000"/>
          <w:spacing w:val="15"/>
          <w:kern w:val="0"/>
          <w:sz w:val="44"/>
          <w:szCs w:val="44"/>
          <w:lang w:val="en-US" w:eastAsia="zh-CN" w:bidi="ar"/>
        </w:rPr>
        <w:t>鹤岗市支持数字经济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Calibri" w:hAnsi="Calibri" w:cs="Calibri"/>
          <w:spacing w:val="15"/>
          <w:sz w:val="21"/>
          <w:szCs w:val="21"/>
        </w:rPr>
      </w:pPr>
      <w:r>
        <w:rPr>
          <w:rFonts w:hint="default" w:ascii="方正小标宋简体" w:hAnsi="方正小标宋简体" w:eastAsia="方正小标宋简体" w:cs="方正小标宋简体"/>
          <w:b w:val="0"/>
          <w:bCs w:val="0"/>
          <w:i w:val="0"/>
          <w:iCs w:val="0"/>
          <w:caps w:val="0"/>
          <w:color w:val="000000"/>
          <w:spacing w:val="15"/>
          <w:kern w:val="0"/>
          <w:sz w:val="44"/>
          <w:szCs w:val="44"/>
          <w:lang w:val="en-US" w:eastAsia="zh-CN" w:bidi="ar"/>
        </w:rPr>
        <w:t>加快发展若干政策（修订稿）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1151" w:hanging="1151"/>
        <w:jc w:val="both"/>
        <w:textAlignment w:val="auto"/>
        <w:rPr>
          <w:rFonts w:ascii="Arial" w:hAnsi="Arial" w:cs="Arial"/>
          <w:b/>
          <w:bCs/>
          <w:sz w:val="24"/>
          <w:szCs w:val="24"/>
        </w:rPr>
      </w:pPr>
      <w:r>
        <w:rPr>
          <w:rFonts w:ascii="黑体" w:hAnsi="宋体" w:eastAsia="黑体" w:cs="黑体"/>
          <w:b/>
          <w:bCs/>
          <w:i w:val="0"/>
          <w:iCs w:val="0"/>
          <w:caps w:val="0"/>
          <w:color w:val="000000"/>
          <w:spacing w:val="15"/>
          <w:sz w:val="24"/>
          <w:szCs w:val="24"/>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both"/>
        <w:textAlignment w:val="auto"/>
        <w:rPr>
          <w:rFonts w:hint="default" w:ascii="Calibri" w:hAnsi="Calibri" w:cs="Calibri"/>
          <w:spacing w:val="15"/>
          <w:sz w:val="21"/>
          <w:szCs w:val="21"/>
        </w:rPr>
      </w:pPr>
      <w:r>
        <w:rPr>
          <w:rFonts w:ascii="仿宋_GB2312" w:hAnsi="Calibri" w:eastAsia="仿宋_GB2312" w:cs="仿宋_GB2312"/>
          <w:b w:val="0"/>
          <w:bCs w:val="0"/>
          <w:i w:val="0"/>
          <w:iCs w:val="0"/>
          <w:caps w:val="0"/>
          <w:color w:val="000000"/>
          <w:spacing w:val="15"/>
          <w:kern w:val="0"/>
          <w:sz w:val="32"/>
          <w:szCs w:val="32"/>
          <w:lang w:val="en-US" w:eastAsia="zh-CN" w:bidi="ar"/>
        </w:rPr>
        <w:t>为推进实施《</w:t>
      </w:r>
      <w:r>
        <w:rPr>
          <w:rFonts w:hint="default" w:ascii="仿宋_GB2312" w:hAnsi="Calibri" w:eastAsia="仿宋_GB2312" w:cs="仿宋_GB2312"/>
          <w:b w:val="0"/>
          <w:bCs w:val="0"/>
          <w:i w:val="0"/>
          <w:iCs w:val="0"/>
          <w:caps w:val="0"/>
          <w:color w:val="000000"/>
          <w:spacing w:val="15"/>
          <w:kern w:val="0"/>
          <w:sz w:val="32"/>
          <w:szCs w:val="32"/>
          <w:lang w:val="en-US" w:eastAsia="zh-CN" w:bidi="ar"/>
        </w:rPr>
        <w:t>鹤岗市人民政府关于印发加快推动鹤岗市数字经济发展的实施方案的通知》（鹤政办规〔2022〕3号），加快数字产业化、产业数字化进程，做强做优做大数字经济，打造数字经济发展新优势，制定如下政策措施。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576" w:lineRule="exact"/>
        <w:ind w:left="0" w:right="0" w:firstLine="700" w:firstLineChars="200"/>
        <w:jc w:val="both"/>
        <w:textAlignment w:val="auto"/>
        <w:rPr>
          <w:spacing w:val="15"/>
        </w:rPr>
      </w:pPr>
      <w:r>
        <w:rPr>
          <w:rFonts w:ascii="楷体" w:hAnsi="楷体" w:eastAsia="楷体" w:cs="楷体"/>
          <w:b w:val="0"/>
          <w:bCs w:val="0"/>
          <w:i w:val="0"/>
          <w:iCs w:val="0"/>
          <w:caps w:val="0"/>
          <w:color w:val="000000"/>
          <w:spacing w:val="15"/>
          <w:sz w:val="32"/>
          <w:szCs w:val="32"/>
        </w:rPr>
        <w:t>（一）</w:t>
      </w:r>
      <w:r>
        <w:rPr>
          <w:rFonts w:hint="eastAsia" w:ascii="楷体" w:hAnsi="楷体" w:eastAsia="楷体" w:cs="楷体"/>
          <w:b w:val="0"/>
          <w:bCs w:val="0"/>
          <w:i w:val="0"/>
          <w:iCs w:val="0"/>
          <w:caps w:val="0"/>
          <w:color w:val="000000"/>
          <w:spacing w:val="15"/>
          <w:sz w:val="32"/>
          <w:szCs w:val="32"/>
        </w:rPr>
        <w:t>支持企业数字化赋能。</w:t>
      </w:r>
      <w:r>
        <w:rPr>
          <w:rFonts w:hint="default" w:ascii="仿宋_GB2312" w:hAnsi="宋体" w:eastAsia="仿宋_GB2312" w:cs="仿宋_GB2312"/>
          <w:b w:val="0"/>
          <w:bCs w:val="0"/>
          <w:i w:val="0"/>
          <w:iCs w:val="0"/>
          <w:caps w:val="0"/>
          <w:color w:val="000000"/>
          <w:spacing w:val="15"/>
          <w:sz w:val="32"/>
          <w:szCs w:val="32"/>
        </w:rPr>
        <w:t>实施企业数字化行动，推动传统产业数字化改造升级。为符合条件的企业积极申报省级智能工厂、数字化车间建设省级奖励资金。（责任单位：市工信局、市财政局）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both"/>
        <w:textAlignment w:val="auto"/>
        <w:rPr>
          <w:rFonts w:hint="default" w:ascii="Calibri" w:hAnsi="Calibri" w:cs="Calibri"/>
          <w:spacing w:val="15"/>
          <w:sz w:val="21"/>
          <w:szCs w:val="21"/>
        </w:rPr>
      </w:pPr>
      <w:r>
        <w:rPr>
          <w:rFonts w:hint="eastAsia" w:ascii="楷体" w:hAnsi="楷体" w:eastAsia="楷体" w:cs="楷体"/>
          <w:b w:val="0"/>
          <w:bCs w:val="0"/>
          <w:i w:val="0"/>
          <w:iCs w:val="0"/>
          <w:caps w:val="0"/>
          <w:color w:val="000000"/>
          <w:spacing w:val="15"/>
          <w:kern w:val="0"/>
          <w:sz w:val="32"/>
          <w:szCs w:val="32"/>
          <w:lang w:val="en-US" w:eastAsia="zh-CN" w:bidi="ar"/>
        </w:rPr>
        <w:t>（二）支持电子商务加快发展。</w:t>
      </w:r>
      <w:r>
        <w:rPr>
          <w:rFonts w:hint="default" w:ascii="仿宋_GB2312" w:hAnsi="Calibri" w:eastAsia="仿宋_GB2312" w:cs="仿宋_GB2312"/>
          <w:b w:val="0"/>
          <w:bCs w:val="0"/>
          <w:i w:val="0"/>
          <w:iCs w:val="0"/>
          <w:caps w:val="0"/>
          <w:color w:val="000000"/>
          <w:spacing w:val="15"/>
          <w:kern w:val="0"/>
          <w:sz w:val="32"/>
          <w:szCs w:val="32"/>
          <w:lang w:val="en-US" w:eastAsia="zh-CN" w:bidi="ar"/>
        </w:rPr>
        <w:t>争取省级奖励资金，对新认定的国家电子商务示范基地、示范企业和数字商务企业分别给予30万元、20万元、10万元的一次性奖励。（责任单位：市商务局、市财政局）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576" w:lineRule="exact"/>
        <w:ind w:left="0" w:right="0" w:firstLine="700" w:firstLineChars="200"/>
        <w:jc w:val="both"/>
        <w:textAlignment w:val="auto"/>
        <w:rPr>
          <w:spacing w:val="15"/>
        </w:rPr>
      </w:pPr>
      <w:r>
        <w:rPr>
          <w:rFonts w:hint="eastAsia" w:ascii="楷体" w:hAnsi="楷体" w:eastAsia="楷体" w:cs="楷体"/>
          <w:b w:val="0"/>
          <w:bCs w:val="0"/>
          <w:i w:val="0"/>
          <w:iCs w:val="0"/>
          <w:caps w:val="0"/>
          <w:color w:val="000000"/>
          <w:spacing w:val="15"/>
          <w:sz w:val="32"/>
          <w:szCs w:val="32"/>
        </w:rPr>
        <w:t>（三）支持创新平台建设。</w:t>
      </w:r>
      <w:r>
        <w:rPr>
          <w:rFonts w:hint="default" w:ascii="仿宋_GB2312" w:hAnsi="宋体" w:eastAsia="仿宋_GB2312" w:cs="仿宋_GB2312"/>
          <w:b w:val="0"/>
          <w:bCs w:val="0"/>
          <w:i w:val="0"/>
          <w:iCs w:val="0"/>
          <w:caps w:val="0"/>
          <w:color w:val="000000"/>
          <w:spacing w:val="15"/>
          <w:sz w:val="32"/>
          <w:szCs w:val="32"/>
        </w:rPr>
        <w:t>鼓励数字经济领域龙头骨干企业牵头、产业链上下游共同参与、产学研深度合作，共同创建科技创新平台。为符合条件的企业积极申报国家产业创新中心、国家工程研究中心、国家技术创新中心和国家制造业创新中心省级奖励资金。（责任单位：市科技局、市工信局、市发改委、市财政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576" w:lineRule="exact"/>
        <w:ind w:left="0" w:right="0" w:firstLine="700" w:firstLineChars="200"/>
        <w:jc w:val="both"/>
        <w:textAlignment w:val="auto"/>
        <w:rPr>
          <w:spacing w:val="15"/>
        </w:rPr>
      </w:pPr>
      <w:r>
        <w:rPr>
          <w:rFonts w:hint="eastAsia" w:ascii="楷体" w:hAnsi="楷体" w:eastAsia="楷体" w:cs="楷体"/>
          <w:b w:val="0"/>
          <w:bCs w:val="0"/>
          <w:i w:val="0"/>
          <w:iCs w:val="0"/>
          <w:caps w:val="0"/>
          <w:color w:val="000000"/>
          <w:spacing w:val="15"/>
          <w:sz w:val="32"/>
          <w:szCs w:val="32"/>
        </w:rPr>
        <w:t>（四）支持产业园区数字化改造。</w:t>
      </w:r>
      <w:r>
        <w:rPr>
          <w:rFonts w:hint="default" w:ascii="仿宋_GB2312" w:hAnsi="宋体" w:eastAsia="仿宋_GB2312" w:cs="仿宋_GB2312"/>
          <w:i w:val="0"/>
          <w:iCs w:val="0"/>
          <w:caps w:val="0"/>
          <w:color w:val="000000"/>
          <w:spacing w:val="15"/>
          <w:sz w:val="32"/>
          <w:szCs w:val="32"/>
        </w:rPr>
        <w:t>支持电信运营商等企业在大型厂区、开发区和数字产业集聚区加快建设5G专网、千兆光网、数据中心等数字化基础设施。建立通信基站用电报审安装绿色通道，支持数字经济领域企业不受电压等级和用电量限制参与电力市场化交易。（责任单位：市工信局、国网鹤岗供电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576" w:lineRule="exact"/>
        <w:ind w:left="0" w:right="0" w:firstLine="700" w:firstLineChars="200"/>
        <w:jc w:val="both"/>
        <w:textAlignment w:val="auto"/>
        <w:rPr>
          <w:spacing w:val="15"/>
        </w:rPr>
      </w:pPr>
      <w:r>
        <w:rPr>
          <w:rFonts w:hint="eastAsia" w:ascii="楷体" w:hAnsi="楷体" w:eastAsia="楷体" w:cs="楷体"/>
          <w:b w:val="0"/>
          <w:bCs w:val="0"/>
          <w:i w:val="0"/>
          <w:iCs w:val="0"/>
          <w:caps w:val="0"/>
          <w:color w:val="000000"/>
          <w:spacing w:val="15"/>
          <w:sz w:val="32"/>
          <w:szCs w:val="32"/>
        </w:rPr>
        <w:t>（五）支持数字基础设施建设。</w:t>
      </w:r>
      <w:r>
        <w:rPr>
          <w:rFonts w:hint="default" w:ascii="仿宋_GB2312" w:hAnsi="宋体" w:eastAsia="仿宋_GB2312" w:cs="仿宋_GB2312"/>
          <w:b w:val="0"/>
          <w:bCs w:val="0"/>
          <w:i w:val="0"/>
          <w:iCs w:val="0"/>
          <w:caps w:val="0"/>
          <w:color w:val="000000"/>
          <w:spacing w:val="15"/>
          <w:sz w:val="32"/>
          <w:szCs w:val="32"/>
        </w:rPr>
        <w:t>国土空间规划要为数字基础设施建设预留空间，保障全市信息通信产业发展规划实施。依法免费开放公共设施和国有企业所属建筑物，利用路灯、监控杆、办公楼等公共资源，支持建设基站、机房等通信基础设施。（责任单位：市5G通信网络规划建设工作领导小组相关成员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76" w:lineRule="exact"/>
        <w:ind w:left="0" w:right="0" w:firstLine="700" w:firstLineChars="200"/>
        <w:jc w:val="both"/>
        <w:textAlignment w:val="auto"/>
        <w:rPr>
          <w:rFonts w:hint="default" w:ascii="Calibri" w:hAnsi="Calibri" w:cs="Calibri"/>
          <w:spacing w:val="15"/>
          <w:sz w:val="21"/>
          <w:szCs w:val="21"/>
        </w:rPr>
      </w:pPr>
      <w:r>
        <w:rPr>
          <w:rFonts w:hint="eastAsia" w:ascii="楷体" w:hAnsi="楷体" w:eastAsia="楷体" w:cs="楷体"/>
          <w:b w:val="0"/>
          <w:bCs w:val="0"/>
          <w:i w:val="0"/>
          <w:iCs w:val="0"/>
          <w:caps w:val="0"/>
          <w:color w:val="000000"/>
          <w:spacing w:val="15"/>
          <w:sz w:val="32"/>
          <w:szCs w:val="32"/>
        </w:rPr>
        <w:t>（六）加强人才支撑。</w:t>
      </w:r>
      <w:r>
        <w:rPr>
          <w:rFonts w:hint="default" w:ascii="仿宋_GB2312" w:hAnsi="Calibri" w:eastAsia="仿宋_GB2312" w:cs="仿宋_GB2312"/>
          <w:b w:val="0"/>
          <w:bCs w:val="0"/>
          <w:i w:val="0"/>
          <w:iCs w:val="0"/>
          <w:caps w:val="0"/>
          <w:color w:val="000000"/>
          <w:spacing w:val="15"/>
          <w:sz w:val="32"/>
          <w:szCs w:val="32"/>
        </w:rPr>
        <w:t>对我市数字经济急需紧缺的高端人才，给予生活补贴、住房补贴以及医疗健康、子女就学、公积金待遇等相关政策，按照《鹤岗市人才振兴工作推进措施》相关规定执行。（责任单位：市委组织部人才中心）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both"/>
        <w:textAlignment w:val="auto"/>
        <w:rPr>
          <w:rFonts w:hint="default" w:ascii="Calibri" w:hAnsi="Calibri" w:cs="Calibri"/>
          <w:spacing w:val="15"/>
          <w:sz w:val="21"/>
          <w:szCs w:val="21"/>
        </w:rPr>
      </w:pPr>
      <w:r>
        <w:rPr>
          <w:rFonts w:hint="eastAsia" w:ascii="楷体" w:hAnsi="楷体" w:eastAsia="楷体" w:cs="楷体"/>
          <w:b w:val="0"/>
          <w:bCs w:val="0"/>
          <w:i w:val="0"/>
          <w:iCs w:val="0"/>
          <w:caps w:val="0"/>
          <w:color w:val="000000"/>
          <w:spacing w:val="15"/>
          <w:kern w:val="0"/>
          <w:sz w:val="32"/>
          <w:szCs w:val="32"/>
          <w:lang w:val="en-US" w:eastAsia="zh-CN" w:bidi="ar"/>
        </w:rPr>
        <w:t>（七）支持发展总部经济。</w:t>
      </w:r>
      <w:r>
        <w:rPr>
          <w:rFonts w:hint="default" w:ascii="仿宋_GB2312" w:hAnsi="Calibri" w:eastAsia="仿宋_GB2312" w:cs="仿宋_GB2312"/>
          <w:b w:val="0"/>
          <w:bCs w:val="0"/>
          <w:i w:val="0"/>
          <w:iCs w:val="0"/>
          <w:caps w:val="0"/>
          <w:color w:val="000000"/>
          <w:spacing w:val="15"/>
          <w:kern w:val="0"/>
          <w:sz w:val="32"/>
          <w:szCs w:val="32"/>
          <w:lang w:val="en-US" w:eastAsia="zh-CN" w:bidi="ar"/>
        </w:rPr>
        <w:t>对数字经济领域世界和国内500强、龙头企业及境内外上市企业来我市设立企业（集团）总部、区域总部和功能性总部的，五年内分别按其主营业务收入的1%、0.8%、0.5%帮助争取省级奖励资金，每年奖励额最高1000万元、500万元、300万元。（责任单位：市发改委、市经合中心、市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both"/>
        <w:textAlignment w:val="auto"/>
        <w:rPr>
          <w:rFonts w:hint="default" w:ascii="Calibri" w:hAnsi="Calibri" w:cs="Calibri"/>
          <w:spacing w:val="15"/>
          <w:sz w:val="21"/>
          <w:szCs w:val="21"/>
        </w:rPr>
      </w:pPr>
      <w:r>
        <w:rPr>
          <w:rFonts w:hint="eastAsia" w:ascii="楷体" w:hAnsi="楷体" w:eastAsia="楷体" w:cs="楷体"/>
          <w:i w:val="0"/>
          <w:iCs w:val="0"/>
          <w:caps w:val="0"/>
          <w:color w:val="000000"/>
          <w:spacing w:val="15"/>
          <w:kern w:val="0"/>
          <w:sz w:val="32"/>
          <w:szCs w:val="32"/>
          <w:lang w:val="en-US" w:eastAsia="zh-CN" w:bidi="ar"/>
        </w:rPr>
        <w:t>（八）支持数字经济供应链创新发展。</w:t>
      </w:r>
      <w:r>
        <w:rPr>
          <w:rFonts w:hint="default" w:ascii="仿宋_GB2312" w:hAnsi="Calibri" w:eastAsia="仿宋_GB2312" w:cs="仿宋_GB2312"/>
          <w:i w:val="0"/>
          <w:iCs w:val="0"/>
          <w:caps w:val="0"/>
          <w:color w:val="000000"/>
          <w:spacing w:val="15"/>
          <w:kern w:val="0"/>
          <w:sz w:val="32"/>
          <w:szCs w:val="32"/>
          <w:lang w:val="en-US" w:eastAsia="zh-CN" w:bidi="ar"/>
        </w:rPr>
        <w:t>支持头部企业在我市布局建设智能仓储、智能配送项目，打造未来物流网络，在协调干线运输能力、航空包机补贴等方面给予支持。按照国家、省交通部门规定对数字经济领域企业原材料、零配件和产成品运输实施绿色通道，给予降低物流成本的政策支持。（责任单位：市发改委、市经合中心、市交通运输局、市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both"/>
        <w:textAlignment w:val="auto"/>
        <w:rPr>
          <w:rFonts w:hint="default" w:ascii="Calibri" w:hAnsi="Calibri" w:cs="Calibri"/>
          <w:spacing w:val="15"/>
          <w:sz w:val="21"/>
          <w:szCs w:val="21"/>
        </w:rPr>
      </w:pPr>
      <w:bookmarkStart w:id="0" w:name="_GoBack"/>
      <w:bookmarkEnd w:id="0"/>
      <w:r>
        <w:rPr>
          <w:rFonts w:hint="eastAsia" w:ascii="楷体" w:hAnsi="楷体" w:eastAsia="楷体" w:cs="楷体"/>
          <w:i w:val="0"/>
          <w:iCs w:val="0"/>
          <w:caps w:val="0"/>
          <w:color w:val="000000"/>
          <w:spacing w:val="15"/>
          <w:kern w:val="0"/>
          <w:sz w:val="32"/>
          <w:szCs w:val="32"/>
          <w:lang w:val="en-US" w:eastAsia="zh-CN" w:bidi="ar"/>
        </w:rPr>
        <w:t>（九）支持数字化转型促进中心建设。</w:t>
      </w:r>
      <w:r>
        <w:rPr>
          <w:rFonts w:hint="default" w:ascii="仿宋_GB2312" w:hAnsi="Calibri" w:eastAsia="仿宋_GB2312" w:cs="仿宋_GB2312"/>
          <w:i w:val="0"/>
          <w:iCs w:val="0"/>
          <w:caps w:val="0"/>
          <w:color w:val="000000"/>
          <w:spacing w:val="15"/>
          <w:kern w:val="0"/>
          <w:sz w:val="32"/>
          <w:szCs w:val="32"/>
          <w:lang w:val="en-US" w:eastAsia="zh-CN" w:bidi="ar"/>
        </w:rPr>
        <w:t>推动数字技术与实体经济深度融合，促进产业数字化转型。支持数字经济领域龙头企业和行业协会建设省级产业数字化转型促进中心，面向产业链上下游企业和行业内中小微企业提供需求撮合、转型咨询、解决方案等服务。对认定的省级产业数字化转型促进中心，帮助争取省奖励资金50万元。（责任单位：市发改委、市财政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76" w:lineRule="exact"/>
        <w:ind w:left="0" w:right="0"/>
        <w:jc w:val="both"/>
        <w:textAlignment w:val="auto"/>
        <w:rPr>
          <w:rFonts w:hint="default" w:ascii="Calibri" w:hAnsi="Calibri" w:cs="Calibri"/>
          <w:spacing w:val="15"/>
          <w:sz w:val="21"/>
          <w:szCs w:val="21"/>
        </w:rPr>
      </w:pPr>
      <w:r>
        <w:rPr>
          <w:rFonts w:hint="eastAsia" w:ascii="楷体" w:hAnsi="楷体" w:eastAsia="楷体" w:cs="楷体"/>
          <w:b w:val="0"/>
          <w:bCs w:val="0"/>
          <w:i w:val="0"/>
          <w:iCs w:val="0"/>
          <w:caps w:val="0"/>
          <w:color w:val="000000"/>
          <w:spacing w:val="15"/>
          <w:sz w:val="32"/>
          <w:szCs w:val="32"/>
        </w:rPr>
        <w:t>（十）降低企业用地成本。</w:t>
      </w:r>
      <w:r>
        <w:rPr>
          <w:rFonts w:hint="default" w:ascii="仿宋_GB2312" w:hAnsi="Calibri" w:eastAsia="仿宋_GB2312" w:cs="仿宋_GB2312"/>
          <w:b w:val="0"/>
          <w:bCs w:val="0"/>
          <w:i w:val="0"/>
          <w:iCs w:val="0"/>
          <w:caps w:val="0"/>
          <w:color w:val="000000"/>
          <w:spacing w:val="15"/>
          <w:sz w:val="32"/>
          <w:szCs w:val="32"/>
        </w:rPr>
        <w:t>对数字产品制造业企业来我市建厂用地，实行工业用地弹性出让政策，可以采取长期租赁、先租后让、租让结合等方式供应土地。企业可自主选择土地供应方式（出让或租赁），自主选择出让年期（不高于法定最高出让年期）。对列入我省优先发展产业目录且用地集约的工业项目，在确定土地出让底价时可按不低于所在地土地等别相对应工业用地最低价标准的70％执行。（责任单位：市自然资源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Calibri" w:hAnsi="Calibri" w:cs="Calibri"/>
          <w:spacing w:val="15"/>
          <w:sz w:val="21"/>
          <w:szCs w:val="21"/>
        </w:rPr>
      </w:pPr>
      <w:r>
        <w:rPr>
          <w:rFonts w:hint="default" w:ascii="仿宋_GB2312" w:hAnsi="Calibri" w:eastAsia="仿宋_GB2312" w:cs="仿宋_GB2312"/>
          <w:i w:val="0"/>
          <w:iCs w:val="0"/>
          <w:caps w:val="0"/>
          <w:color w:val="000000"/>
          <w:spacing w:val="15"/>
          <w:kern w:val="0"/>
          <w:sz w:val="32"/>
          <w:szCs w:val="32"/>
          <w:lang w:val="en-US" w:eastAsia="zh-CN" w:bidi="ar"/>
        </w:rPr>
        <w:t>符合本政策措施，同时符合我市其他扶持政策规定，按照从高不重复的原则予以支持，另有规定的除外。政策自发布之日起实施，原《鹤岗市人民政府办公室关于印发鹤岗市支持数字经济加快发展若干政策的通知》（鹤政办规〔2022〕4号）同时废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Calibri" w:hAnsi="Calibri" w:cs="Calibri"/>
          <w:spacing w:val="15"/>
          <w:sz w:val="21"/>
          <w:szCs w:val="21"/>
        </w:rPr>
      </w:pPr>
      <w:r>
        <w:rPr>
          <w:rFonts w:hint="default" w:ascii="Calibri" w:hAnsi="Calibri" w:eastAsia="宋体" w:cs="Calibri"/>
          <w:i w:val="0"/>
          <w:iCs w:val="0"/>
          <w:caps w:val="0"/>
          <w:color w:val="000000"/>
          <w:spacing w:val="15"/>
          <w:kern w:val="0"/>
          <w:sz w:val="21"/>
          <w:szCs w:val="21"/>
          <w:lang w:val="en-US" w:eastAsia="zh-CN" w:bidi="ar"/>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76" w:lineRule="exact"/>
        <w:ind w:left="0" w:right="0"/>
        <w:jc w:val="both"/>
        <w:textAlignment w:val="auto"/>
        <w:rPr>
          <w:rFonts w:hint="default" w:ascii="Calibri" w:hAnsi="Calibri" w:cs="Calibri"/>
          <w:spacing w:val="15"/>
          <w:sz w:val="21"/>
          <w:szCs w:val="21"/>
        </w:rPr>
      </w:pPr>
      <w:r>
        <w:rPr>
          <w:rFonts w:hint="default" w:ascii="仿宋_GB2312" w:hAnsi="Calibri" w:eastAsia="仿宋_GB2312" w:cs="仿宋_GB2312"/>
          <w:i w:val="0"/>
          <w:iCs w:val="0"/>
          <w:caps w:val="0"/>
          <w:color w:val="000000"/>
          <w:spacing w:val="15"/>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Calibri" w:hAnsi="Calibri" w:cs="Calibri"/>
          <w:i w:val="0"/>
          <w:iCs w:val="0"/>
          <w:caps w:val="0"/>
          <w:color w:val="000000"/>
          <w:spacing w:val="15"/>
          <w:sz w:val="21"/>
          <w:szCs w:val="21"/>
        </w:rPr>
      </w:pPr>
      <w:r>
        <w:rPr>
          <w:rFonts w:ascii="仿宋" w:hAnsi="仿宋" w:eastAsia="仿宋" w:cs="仿宋"/>
          <w:i w:val="0"/>
          <w:iCs w:val="0"/>
          <w:caps w:val="0"/>
          <w:color w:val="000000"/>
          <w:spacing w:val="15"/>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Calibri" w:hAnsi="Calibri" w:cs="Calibri"/>
          <w:i w:val="0"/>
          <w:iCs w:val="0"/>
          <w:caps w:val="0"/>
          <w:color w:val="000000"/>
          <w:spacing w:val="15"/>
          <w:sz w:val="21"/>
          <w:szCs w:val="21"/>
        </w:rPr>
      </w:pPr>
      <w:r>
        <w:rPr>
          <w:rFonts w:hint="default" w:ascii="Calibri" w:hAnsi="Calibri" w:cs="Calibri" w:eastAsiaTheme="minorEastAsia"/>
          <w:i w:val="0"/>
          <w:iCs w:val="0"/>
          <w:caps w:val="0"/>
          <w:color w:val="000000"/>
          <w:spacing w:val="15"/>
          <w:kern w:val="0"/>
          <w:sz w:val="21"/>
          <w:szCs w:val="21"/>
          <w:lang w:val="en-US" w:eastAsia="zh-CN" w:bidi="ar"/>
        </w:rPr>
        <w:drawing>
          <wp:inline distT="0" distB="0" distL="114300" distR="114300">
            <wp:extent cx="5391150"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91150" cy="19050"/>
                    </a:xfrm>
                    <a:prstGeom prst="rect">
                      <a:avLst/>
                    </a:prstGeom>
                    <a:noFill/>
                    <a:ln w="9525">
                      <a:noFill/>
                    </a:ln>
                  </pic:spPr>
                </pic:pic>
              </a:graphicData>
            </a:graphic>
          </wp:inline>
        </w:drawing>
      </w:r>
      <w:r>
        <w:rPr>
          <w:rFonts w:hint="eastAsia" w:ascii="仿宋" w:hAnsi="仿宋" w:eastAsia="仿宋" w:cs="仿宋"/>
          <w:i w:val="0"/>
          <w:iCs w:val="0"/>
          <w:caps w:val="0"/>
          <w:color w:val="000000"/>
          <w:spacing w:val="15"/>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Calibri" w:hAnsi="Calibri" w:cs="Calibri"/>
          <w:i w:val="0"/>
          <w:iCs w:val="0"/>
          <w:caps w:val="0"/>
          <w:color w:val="000000"/>
          <w:spacing w:val="15"/>
          <w:sz w:val="21"/>
          <w:szCs w:val="21"/>
        </w:rPr>
      </w:pPr>
      <w:r>
        <w:rPr>
          <w:rFonts w:hint="default" w:ascii="仿宋_GB2312" w:hAnsi="Calibri" w:eastAsia="仿宋_GB2312" w:cs="仿宋_GB2312"/>
          <w:i w:val="0"/>
          <w:iCs w:val="0"/>
          <w:caps w:val="0"/>
          <w:color w:val="000000"/>
          <w:spacing w:val="15"/>
          <w:kern w:val="0"/>
          <w:sz w:val="28"/>
          <w:szCs w:val="28"/>
          <w:lang w:val="en-US" w:eastAsia="zh-CN" w:bidi="ar"/>
        </w:rPr>
        <w:t>  抄送：市委办、市人大办，市政协办。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Calibri" w:hAnsi="Calibri" w:cs="Calibri"/>
          <w:i w:val="0"/>
          <w:iCs w:val="0"/>
          <w:caps w:val="0"/>
          <w:color w:val="000000"/>
          <w:spacing w:val="15"/>
          <w:sz w:val="21"/>
          <w:szCs w:val="21"/>
        </w:rPr>
      </w:pPr>
      <w:r>
        <w:rPr>
          <w:rFonts w:hint="default" w:ascii="Calibri" w:hAnsi="Calibri" w:cs="Calibri" w:eastAsiaTheme="minorEastAsia"/>
          <w:i w:val="0"/>
          <w:iCs w:val="0"/>
          <w:caps w:val="0"/>
          <w:color w:val="000000"/>
          <w:spacing w:val="15"/>
          <w:kern w:val="0"/>
          <w:sz w:val="21"/>
          <w:szCs w:val="21"/>
          <w:lang w:val="en-US" w:eastAsia="zh-CN" w:bidi="ar"/>
        </w:rPr>
        <w:drawing>
          <wp:inline distT="0" distB="0" distL="114300" distR="114300">
            <wp:extent cx="5372100" cy="190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372100" cy="19050"/>
                    </a:xfrm>
                    <a:prstGeom prst="rect">
                      <a:avLst/>
                    </a:prstGeom>
                    <a:noFill/>
                    <a:ln w="9525">
                      <a:noFill/>
                    </a:ln>
                  </pic:spPr>
                </pic:pic>
              </a:graphicData>
            </a:graphic>
          </wp:inline>
        </w:drawing>
      </w:r>
      <w:r>
        <w:rPr>
          <w:rFonts w:hint="default" w:ascii="Calibri" w:hAnsi="Calibri" w:cs="Calibri" w:eastAsiaTheme="minorEastAsia"/>
          <w:i w:val="0"/>
          <w:iCs w:val="0"/>
          <w:caps w:val="0"/>
          <w:color w:val="000000"/>
          <w:spacing w:val="15"/>
          <w:kern w:val="0"/>
          <w:sz w:val="21"/>
          <w:szCs w:val="21"/>
          <w:lang w:val="en-US" w:eastAsia="zh-CN" w:bidi="ar"/>
        </w:rPr>
        <w:drawing>
          <wp:inline distT="0" distB="0" distL="114300" distR="114300">
            <wp:extent cx="5372100" cy="2857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372100" cy="28575"/>
                    </a:xfrm>
                    <a:prstGeom prst="rect">
                      <a:avLst/>
                    </a:prstGeom>
                    <a:noFill/>
                    <a:ln w="9525">
                      <a:noFill/>
                    </a:ln>
                  </pic:spPr>
                </pic:pic>
              </a:graphicData>
            </a:graphic>
          </wp:inline>
        </w:drawing>
      </w:r>
      <w:r>
        <w:rPr>
          <w:rFonts w:hint="default" w:ascii="仿宋_GB2312" w:hAnsi="Calibri" w:eastAsia="仿宋_GB2312" w:cs="仿宋_GB2312"/>
          <w:i w:val="0"/>
          <w:iCs w:val="0"/>
          <w:caps w:val="0"/>
          <w:color w:val="000000"/>
          <w:spacing w:val="15"/>
          <w:kern w:val="0"/>
          <w:sz w:val="28"/>
          <w:szCs w:val="28"/>
          <w:lang w:val="en-US" w:eastAsia="zh-CN" w:bidi="ar"/>
        </w:rPr>
        <w:t>  鹤岗市人民政府办公室           2023年7月27日印发</w:t>
      </w:r>
    </w:p>
    <w:p>
      <w:pPr>
        <w:keepNext w:val="0"/>
        <w:keepLines w:val="0"/>
        <w:pageBreakBefore w:val="0"/>
        <w:kinsoku/>
        <w:wordWrap/>
        <w:overflowPunct/>
        <w:topLinePunct w:val="0"/>
        <w:autoSpaceDE/>
        <w:autoSpaceDN/>
        <w:bidi w:val="0"/>
        <w:adjustRightInd/>
        <w:snapToGrid/>
        <w:spacing w:beforeAutospacing="0" w:line="576"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Y2IzOWYyMjFiOGFmNGEzYzU4MzQzZTQxMTM3ZTEifQ=="/>
  </w:docVars>
  <w:rsids>
    <w:rsidRoot w:val="6B4460BB"/>
    <w:rsid w:val="6B44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2024-01-24T06:38:00Z</dcterms:created>
  <dc:creator>WPS_1551058030</dc:creator>
  <cp:lastModifiedBy>WPS_1551058030</cp:lastModifiedBy>
  <dcterms:modified xsi:type="dcterms:W3CDTF">2024-01-24T06:38:54Z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D5CAE818BB934CACA8EF61D5713C49FE_11</vt:lpwstr>
  </property>
</Properties>
</file>